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9637" w:type="dxa"/>
        <w:tblLook w:val="01E0" w:firstRow="1" w:lastRow="1" w:firstColumn="1" w:lastColumn="1" w:noHBand="0" w:noVBand="0"/>
      </w:tblPr>
      <w:tblGrid>
        <w:gridCol w:w="1668"/>
        <w:gridCol w:w="850"/>
        <w:gridCol w:w="1134"/>
        <w:gridCol w:w="741"/>
        <w:gridCol w:w="1811"/>
        <w:gridCol w:w="991"/>
        <w:gridCol w:w="2442"/>
      </w:tblGrid>
      <w:tr w:rsidR="00BC4E9D" w:rsidRPr="00B02224" w14:paraId="1B9A1D70" w14:textId="77777777" w:rsidTr="00CF7139">
        <w:trPr>
          <w:trHeight w:val="397"/>
        </w:trPr>
        <w:tc>
          <w:tcPr>
            <w:tcW w:w="2518" w:type="dxa"/>
            <w:gridSpan w:val="2"/>
          </w:tcPr>
          <w:p w14:paraId="1B9A1D6E" w14:textId="77777777" w:rsidR="00BC4E9D" w:rsidRPr="00B02224" w:rsidRDefault="00BC4E9D" w:rsidP="00BC4E9D">
            <w:pPr>
              <w:spacing w:line="480" w:lineRule="auto"/>
              <w:ind w:left="-108" w:right="571" w:firstLine="108"/>
              <w:rPr>
                <w:rFonts w:ascii="ISOCPEUR" w:hAnsi="ISOCPEUR" w:cs="Arial"/>
                <w:i/>
                <w:caps/>
                <w:szCs w:val="28"/>
              </w:rPr>
            </w:pPr>
            <w:bookmarkStart w:id="0" w:name="OLE_LINK2"/>
            <w:bookmarkStart w:id="1" w:name="_Toc247258215"/>
            <w:r w:rsidRPr="00B02224">
              <w:rPr>
                <w:rFonts w:ascii="ISOCPEUR" w:hAnsi="ISOCPEUR" w:cs="Arial"/>
                <w:i/>
                <w:caps/>
                <w:sz w:val="22"/>
                <w:szCs w:val="28"/>
              </w:rPr>
              <w:t>Objekt:</w:t>
            </w:r>
          </w:p>
        </w:tc>
        <w:tc>
          <w:tcPr>
            <w:tcW w:w="7119" w:type="dxa"/>
            <w:gridSpan w:val="5"/>
          </w:tcPr>
          <w:p w14:paraId="1B9A1D6F" w14:textId="77777777" w:rsidR="00BC4E9D" w:rsidRPr="00B02224" w:rsidRDefault="005554F7" w:rsidP="00BC4E9D">
            <w:pPr>
              <w:tabs>
                <w:tab w:val="left" w:pos="-108"/>
              </w:tabs>
              <w:spacing w:line="480" w:lineRule="auto"/>
              <w:rPr>
                <w:rFonts w:ascii="ISOCPEUR" w:eastAsia="ArialMT" w:hAnsi="ISOCPEUR" w:cs="Arial"/>
                <w:b/>
                <w:sz w:val="28"/>
                <w:szCs w:val="28"/>
                <w:lang w:eastAsia="cs-CZ"/>
              </w:rPr>
            </w:pPr>
            <w:r w:rsidRPr="00B02224">
              <w:rPr>
                <w:rFonts w:ascii="ISOCPEUR" w:eastAsia="ArialMT" w:hAnsi="ISOCPEUR" w:cs="Arial"/>
                <w:b/>
                <w:sz w:val="28"/>
                <w:szCs w:val="28"/>
                <w:lang w:eastAsia="cs-CZ"/>
              </w:rPr>
              <w:t>Zastřešení atria objektu Bezručovo náměstí 14, Opava</w:t>
            </w:r>
          </w:p>
        </w:tc>
      </w:tr>
      <w:tr w:rsidR="00BC4E9D" w:rsidRPr="00B02224" w14:paraId="1B9A1D74" w14:textId="77777777" w:rsidTr="00CF7139">
        <w:trPr>
          <w:trHeight w:val="397"/>
        </w:trPr>
        <w:tc>
          <w:tcPr>
            <w:tcW w:w="2518" w:type="dxa"/>
            <w:gridSpan w:val="2"/>
          </w:tcPr>
          <w:p w14:paraId="1B9A1D71" w14:textId="77777777" w:rsidR="00BC4E9D" w:rsidRPr="00B02224" w:rsidRDefault="00BC4E9D" w:rsidP="00BC4E9D">
            <w:pPr>
              <w:spacing w:line="480" w:lineRule="auto"/>
              <w:ind w:right="571"/>
              <w:rPr>
                <w:rFonts w:ascii="ISOCPEUR" w:hAnsi="ISOCPEUR" w:cs="Arial"/>
                <w:i/>
                <w:caps/>
                <w:szCs w:val="28"/>
              </w:rPr>
            </w:pPr>
            <w:r w:rsidRPr="00B02224">
              <w:rPr>
                <w:rFonts w:ascii="ISOCPEUR" w:hAnsi="ISOCPEUR" w:cs="Arial"/>
                <w:i/>
                <w:caps/>
                <w:sz w:val="22"/>
                <w:szCs w:val="28"/>
              </w:rPr>
              <w:t>Stavebník:</w:t>
            </w:r>
          </w:p>
        </w:tc>
        <w:tc>
          <w:tcPr>
            <w:tcW w:w="7119" w:type="dxa"/>
            <w:gridSpan w:val="5"/>
          </w:tcPr>
          <w:p w14:paraId="1B9A1D72" w14:textId="77777777" w:rsidR="008662FC" w:rsidRPr="00B02224" w:rsidRDefault="008662FC" w:rsidP="008662FC">
            <w:pPr>
              <w:spacing w:line="480" w:lineRule="auto"/>
              <w:rPr>
                <w:rFonts w:ascii="ISOCPEUR" w:hAnsi="ISOCPEUR" w:cs="Arial"/>
                <w:b/>
                <w:sz w:val="28"/>
                <w:szCs w:val="28"/>
              </w:rPr>
            </w:pPr>
            <w:r w:rsidRPr="00B02224">
              <w:rPr>
                <w:rFonts w:ascii="ISOCPEUR" w:hAnsi="ISOCPEUR" w:cs="Arial"/>
                <w:b/>
                <w:sz w:val="28"/>
                <w:szCs w:val="28"/>
              </w:rPr>
              <w:t xml:space="preserve">Slezská univerzita v Opavě, </w:t>
            </w:r>
          </w:p>
          <w:p w14:paraId="1B9A1D73" w14:textId="77777777" w:rsidR="00E416A9" w:rsidRPr="00B02224" w:rsidRDefault="008662FC" w:rsidP="00BC4E9D">
            <w:pPr>
              <w:spacing w:line="480" w:lineRule="auto"/>
              <w:rPr>
                <w:rFonts w:ascii="ISOCPEUR" w:hAnsi="ISOCPEUR" w:cs="Arial"/>
                <w:sz w:val="28"/>
                <w:szCs w:val="28"/>
              </w:rPr>
            </w:pPr>
            <w:r w:rsidRPr="00B02224">
              <w:rPr>
                <w:rFonts w:ascii="ISOCPEUR" w:hAnsi="ISOCPEUR" w:cs="Arial"/>
                <w:sz w:val="28"/>
                <w:szCs w:val="28"/>
              </w:rPr>
              <w:t>Na Rybníčku 626/1, 746 01 Opava</w:t>
            </w:r>
          </w:p>
        </w:tc>
      </w:tr>
      <w:tr w:rsidR="00E416A9" w:rsidRPr="00B02224" w14:paraId="1B9A1D77" w14:textId="77777777" w:rsidTr="00CF7139">
        <w:trPr>
          <w:trHeight w:val="397"/>
        </w:trPr>
        <w:tc>
          <w:tcPr>
            <w:tcW w:w="2518" w:type="dxa"/>
            <w:gridSpan w:val="2"/>
          </w:tcPr>
          <w:p w14:paraId="1B9A1D75" w14:textId="77777777" w:rsidR="00E416A9" w:rsidRPr="00B02224" w:rsidRDefault="00E416A9" w:rsidP="00BC4E9D">
            <w:pPr>
              <w:spacing w:line="480" w:lineRule="auto"/>
              <w:ind w:right="571"/>
              <w:rPr>
                <w:rFonts w:ascii="ISOCPEUR" w:hAnsi="ISOCPEUR" w:cs="Arial"/>
                <w:i/>
                <w:caps/>
                <w:szCs w:val="28"/>
              </w:rPr>
            </w:pPr>
            <w:r w:rsidRPr="00B02224">
              <w:rPr>
                <w:rFonts w:ascii="ISOCPEUR" w:hAnsi="ISOCPEUR" w:cs="Arial"/>
                <w:i/>
                <w:caps/>
                <w:sz w:val="22"/>
                <w:szCs w:val="28"/>
              </w:rPr>
              <w:t xml:space="preserve">IČO: </w:t>
            </w:r>
          </w:p>
        </w:tc>
        <w:tc>
          <w:tcPr>
            <w:tcW w:w="7119" w:type="dxa"/>
            <w:gridSpan w:val="5"/>
          </w:tcPr>
          <w:p w14:paraId="1B9A1D76" w14:textId="77777777" w:rsidR="00E416A9" w:rsidRPr="00B02224" w:rsidRDefault="008662FC" w:rsidP="00BC4E9D">
            <w:pPr>
              <w:spacing w:line="480" w:lineRule="auto"/>
              <w:rPr>
                <w:rFonts w:ascii="ISOCPEUR" w:hAnsi="ISOCPEUR" w:cs="Arial"/>
                <w:sz w:val="28"/>
                <w:szCs w:val="28"/>
              </w:rPr>
            </w:pPr>
            <w:r w:rsidRPr="00B02224">
              <w:rPr>
                <w:rFonts w:ascii="ISOCPEUR" w:hAnsi="ISOCPEUR" w:cs="Arial"/>
                <w:sz w:val="28"/>
                <w:szCs w:val="28"/>
              </w:rPr>
              <w:t>47813059</w:t>
            </w:r>
          </w:p>
        </w:tc>
      </w:tr>
      <w:tr w:rsidR="00BC4E9D" w:rsidRPr="00B02224" w14:paraId="1B9A1D7A" w14:textId="77777777" w:rsidTr="00CF7139">
        <w:trPr>
          <w:trHeight w:val="397"/>
        </w:trPr>
        <w:tc>
          <w:tcPr>
            <w:tcW w:w="2518" w:type="dxa"/>
            <w:gridSpan w:val="2"/>
          </w:tcPr>
          <w:p w14:paraId="1B9A1D78" w14:textId="77777777" w:rsidR="00BC4E9D" w:rsidRPr="00B02224" w:rsidRDefault="00BC4E9D" w:rsidP="00BC4E9D">
            <w:pPr>
              <w:tabs>
                <w:tab w:val="left" w:pos="2268"/>
              </w:tabs>
              <w:spacing w:line="480" w:lineRule="auto"/>
              <w:rPr>
                <w:rFonts w:ascii="ISOCPEUR" w:hAnsi="ISOCPEUR" w:cs="Arial"/>
                <w:i/>
                <w:caps/>
                <w:szCs w:val="28"/>
              </w:rPr>
            </w:pPr>
            <w:r w:rsidRPr="00B02224">
              <w:rPr>
                <w:rFonts w:ascii="ISOCPEUR" w:hAnsi="ISOCPEUR" w:cs="Arial"/>
                <w:bCs/>
                <w:i/>
                <w:caps/>
                <w:sz w:val="22"/>
                <w:szCs w:val="28"/>
              </w:rPr>
              <w:t>Místo stavby</w:t>
            </w:r>
            <w:r w:rsidRPr="00B02224">
              <w:rPr>
                <w:rFonts w:ascii="ISOCPEUR" w:hAnsi="ISOCPEUR" w:cs="Arial"/>
                <w:bCs/>
                <w:i/>
                <w:sz w:val="22"/>
                <w:szCs w:val="28"/>
              </w:rPr>
              <w:t xml:space="preserve">: </w:t>
            </w:r>
          </w:p>
        </w:tc>
        <w:tc>
          <w:tcPr>
            <w:tcW w:w="7119" w:type="dxa"/>
            <w:gridSpan w:val="5"/>
          </w:tcPr>
          <w:p w14:paraId="1B9A1D79" w14:textId="77777777" w:rsidR="00BC4E9D" w:rsidRPr="00B02224" w:rsidRDefault="00FD44D1" w:rsidP="00FD44D1">
            <w:pPr>
              <w:spacing w:line="480" w:lineRule="auto"/>
              <w:rPr>
                <w:rFonts w:ascii="ISOCPEUR" w:eastAsia="ArialMT" w:hAnsi="ISOCPEUR" w:cs="Arial"/>
                <w:sz w:val="28"/>
                <w:szCs w:val="28"/>
                <w:lang w:eastAsia="cs-CZ"/>
              </w:rPr>
            </w:pPr>
            <w:r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>Bezručovo náměstí 885/14, 746 01 Opava</w:t>
            </w:r>
            <w:r w:rsidR="00060DF3"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 xml:space="preserve">, </w:t>
            </w:r>
            <w:proofErr w:type="spellStart"/>
            <w:r w:rsidR="00060DF3"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>k.ú</w:t>
            </w:r>
            <w:proofErr w:type="spellEnd"/>
            <w:r w:rsidR="00060DF3"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>.</w:t>
            </w:r>
            <w:r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 xml:space="preserve"> </w:t>
            </w:r>
            <w:proofErr w:type="gramStart"/>
            <w:r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>Opava - Předměstí</w:t>
            </w:r>
            <w:proofErr w:type="gramEnd"/>
            <w:r w:rsidR="00060DF3"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>, parcela č.</w:t>
            </w:r>
            <w:r w:rsidRPr="00B02224">
              <w:rPr>
                <w:rFonts w:ascii="ISOCPEUR" w:eastAsia="ArialMT" w:hAnsi="ISOCPEUR" w:cs="Arial"/>
                <w:sz w:val="28"/>
                <w:szCs w:val="28"/>
                <w:lang w:eastAsia="cs-CZ"/>
              </w:rPr>
              <w:t xml:space="preserve">  523</w:t>
            </w:r>
          </w:p>
        </w:tc>
      </w:tr>
      <w:tr w:rsidR="00BC4E9D" w:rsidRPr="00B02224" w14:paraId="1B9A1D7D" w14:textId="77777777" w:rsidTr="00CF7139">
        <w:trPr>
          <w:trHeight w:val="397"/>
        </w:trPr>
        <w:tc>
          <w:tcPr>
            <w:tcW w:w="2518" w:type="dxa"/>
            <w:gridSpan w:val="2"/>
          </w:tcPr>
          <w:p w14:paraId="1B9A1D7B" w14:textId="77777777" w:rsidR="00BC4E9D" w:rsidRPr="00B02224" w:rsidRDefault="00BC4E9D" w:rsidP="00BC4E9D">
            <w:pPr>
              <w:spacing w:line="480" w:lineRule="auto"/>
              <w:rPr>
                <w:rFonts w:ascii="ISOCPEUR" w:hAnsi="ISOCPEUR" w:cs="Arial"/>
                <w:i/>
                <w:caps/>
                <w:szCs w:val="28"/>
              </w:rPr>
            </w:pPr>
            <w:r w:rsidRPr="00B02224">
              <w:rPr>
                <w:rFonts w:ascii="ISOCPEUR" w:hAnsi="ISOCPEUR" w:cs="Arial"/>
                <w:i/>
                <w:caps/>
                <w:sz w:val="22"/>
                <w:szCs w:val="28"/>
              </w:rPr>
              <w:t>Stupeň projektu</w:t>
            </w:r>
            <w:r w:rsidRPr="00B02224">
              <w:rPr>
                <w:rFonts w:ascii="ISOCPEUR" w:hAnsi="ISOCPEUR" w:cs="Arial"/>
                <w:i/>
                <w:sz w:val="22"/>
                <w:szCs w:val="28"/>
              </w:rPr>
              <w:t>:</w:t>
            </w:r>
          </w:p>
        </w:tc>
        <w:tc>
          <w:tcPr>
            <w:tcW w:w="7119" w:type="dxa"/>
            <w:gridSpan w:val="5"/>
          </w:tcPr>
          <w:p w14:paraId="1B9A1D7C" w14:textId="77777777" w:rsidR="00BC4E9D" w:rsidRPr="00B02224" w:rsidRDefault="00624876" w:rsidP="00624876">
            <w:pPr>
              <w:spacing w:line="480" w:lineRule="auto"/>
              <w:rPr>
                <w:rFonts w:ascii="ISOCPEUR" w:hAnsi="ISOCPEUR" w:cs="Arial"/>
                <w:sz w:val="28"/>
                <w:szCs w:val="28"/>
              </w:rPr>
            </w:pPr>
            <w:r w:rsidRPr="00B02224">
              <w:rPr>
                <w:rFonts w:ascii="ISOCPEUR" w:hAnsi="ISOCPEUR" w:cs="Arial"/>
                <w:sz w:val="28"/>
                <w:szCs w:val="28"/>
              </w:rPr>
              <w:t xml:space="preserve">Sloučené územní řízení a stavební povolení </w:t>
            </w:r>
          </w:p>
        </w:tc>
      </w:tr>
      <w:tr w:rsidR="00BC4E9D" w:rsidRPr="00B02224" w14:paraId="1B9A1D87" w14:textId="77777777" w:rsidTr="00CF7139">
        <w:trPr>
          <w:trHeight w:val="397"/>
        </w:trPr>
        <w:tc>
          <w:tcPr>
            <w:tcW w:w="9637" w:type="dxa"/>
            <w:gridSpan w:val="7"/>
            <w:vAlign w:val="center"/>
          </w:tcPr>
          <w:p w14:paraId="1B9A1D7E" w14:textId="77777777" w:rsidR="00BC4E9D" w:rsidRPr="00B02224" w:rsidRDefault="00BC4E9D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 w:val="36"/>
                <w:szCs w:val="48"/>
              </w:rPr>
            </w:pPr>
          </w:p>
          <w:p w14:paraId="1B9A1D7F" w14:textId="77777777" w:rsidR="00BC4E9D" w:rsidRPr="00B02224" w:rsidRDefault="00BC4E9D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 w:val="32"/>
                <w:szCs w:val="48"/>
              </w:rPr>
            </w:pPr>
          </w:p>
          <w:p w14:paraId="1B9A1D80" w14:textId="77777777" w:rsidR="00BC4E9D" w:rsidRPr="00B02224" w:rsidRDefault="00BC4E9D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 w:val="36"/>
                <w:szCs w:val="48"/>
              </w:rPr>
            </w:pPr>
          </w:p>
          <w:p w14:paraId="1B9A1D81" w14:textId="77777777" w:rsidR="00BC4E9D" w:rsidRPr="00B02224" w:rsidRDefault="00BC4E9D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 w:val="36"/>
                <w:szCs w:val="48"/>
              </w:rPr>
            </w:pPr>
            <w:r w:rsidRPr="00B02224">
              <w:rPr>
                <w:rFonts w:ascii="ISOCPEUR" w:hAnsi="ISOCPEUR" w:cs="Arial"/>
                <w:b/>
                <w:caps/>
                <w:sz w:val="36"/>
                <w:szCs w:val="48"/>
              </w:rPr>
              <w:t>Požárně bezpečnostní řešení stavby</w:t>
            </w:r>
          </w:p>
          <w:p w14:paraId="1B9A1D82" w14:textId="77777777" w:rsidR="00BC4E9D" w:rsidRPr="00B02224" w:rsidRDefault="00BC4E9D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 w:val="36"/>
                <w:szCs w:val="48"/>
              </w:rPr>
            </w:pPr>
          </w:p>
          <w:p w14:paraId="1B9A1D83" w14:textId="77777777" w:rsidR="00BC4E9D" w:rsidRDefault="00BC4E9D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 w:val="36"/>
                <w:szCs w:val="48"/>
              </w:rPr>
            </w:pPr>
          </w:p>
          <w:p w14:paraId="48662230" w14:textId="77777777" w:rsidR="00021331" w:rsidRPr="00021331" w:rsidRDefault="00021331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</w:rPr>
            </w:pPr>
          </w:p>
          <w:p w14:paraId="1B9A1D84" w14:textId="77777777" w:rsidR="00FD44D1" w:rsidRPr="00B02224" w:rsidRDefault="00FD44D1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Cs w:val="48"/>
              </w:rPr>
            </w:pPr>
          </w:p>
          <w:p w14:paraId="1B9A1D85" w14:textId="77777777" w:rsidR="0002633D" w:rsidRPr="00B02224" w:rsidRDefault="0002633D" w:rsidP="00BC4E9D">
            <w:pPr>
              <w:spacing w:line="360" w:lineRule="auto"/>
              <w:jc w:val="center"/>
              <w:rPr>
                <w:rFonts w:ascii="ISOCPEUR" w:hAnsi="ISOCPEUR" w:cs="Arial"/>
                <w:b/>
                <w:caps/>
                <w:sz w:val="6"/>
                <w:szCs w:val="48"/>
              </w:rPr>
            </w:pPr>
          </w:p>
          <w:p w14:paraId="1B9A1D86" w14:textId="36A19737" w:rsidR="00BC4E9D" w:rsidRPr="00B02224" w:rsidRDefault="00BC4E9D" w:rsidP="00702EDB">
            <w:pPr>
              <w:spacing w:line="360" w:lineRule="auto"/>
              <w:rPr>
                <w:rFonts w:ascii="ISOCPEUR" w:hAnsi="ISOCPEUR" w:cs="Arial"/>
                <w:b/>
                <w:caps/>
                <w:sz w:val="28"/>
                <w:szCs w:val="48"/>
              </w:rPr>
            </w:pPr>
            <w:r w:rsidRPr="00B02224">
              <w:rPr>
                <w:rFonts w:ascii="ISOCPEUR" w:hAnsi="ISOCPEUR" w:cs="Arial"/>
                <w:i/>
                <w:caps/>
                <w:sz w:val="22"/>
                <w:szCs w:val="28"/>
              </w:rPr>
              <w:t>Zpracoval:</w:t>
            </w:r>
            <w:r w:rsidR="0057113C" w:rsidRPr="00B02224">
              <w:rPr>
                <w:rFonts w:ascii="ISOCPEUR" w:hAnsi="ISOCPEUR" w:cs="Arial"/>
                <w:i/>
                <w:caps/>
                <w:sz w:val="22"/>
                <w:szCs w:val="28"/>
              </w:rPr>
              <w:t xml:space="preserve">  </w:t>
            </w:r>
          </w:p>
        </w:tc>
      </w:tr>
      <w:tr w:rsidR="00BC4E9D" w:rsidRPr="00B02224" w14:paraId="1B9A1D90" w14:textId="77777777" w:rsidTr="00CF7139">
        <w:trPr>
          <w:trHeight w:val="397"/>
        </w:trPr>
        <w:tc>
          <w:tcPr>
            <w:tcW w:w="1668" w:type="dxa"/>
            <w:vMerge w:val="restart"/>
          </w:tcPr>
          <w:p w14:paraId="1B9A1D88" w14:textId="77777777" w:rsidR="00BC4E9D" w:rsidRPr="00B02224" w:rsidRDefault="00485FF6" w:rsidP="00BC4E9D">
            <w:pPr>
              <w:spacing w:line="480" w:lineRule="auto"/>
              <w:rPr>
                <w:rFonts w:ascii="ISOCPEUR" w:hAnsi="ISOCPEUR" w:cs="Arial"/>
                <w:i/>
                <w:caps/>
                <w:szCs w:val="28"/>
              </w:rPr>
            </w:pPr>
            <w:r w:rsidRPr="00B02224">
              <w:rPr>
                <w:rFonts w:ascii="ISOCPEUR" w:hAnsi="ISOCPEUR" w:cs="Arial"/>
                <w:i/>
                <w:caps/>
                <w:noProof/>
                <w:szCs w:val="28"/>
                <w:lang w:eastAsia="cs-CZ"/>
              </w:rPr>
              <w:drawing>
                <wp:anchor distT="0" distB="0" distL="114300" distR="114300" simplePos="0" relativeHeight="251656192" behindDoc="1" locked="0" layoutInCell="1" allowOverlap="1" wp14:anchorId="1B9A1FF7" wp14:editId="1B9A1FF8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40640</wp:posOffset>
                  </wp:positionV>
                  <wp:extent cx="944245" cy="1110615"/>
                  <wp:effectExtent l="19050" t="0" r="8255" b="0"/>
                  <wp:wrapNone/>
                  <wp:docPr id="9" name="obrázek 2" descr="D:\OneDrive\JP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OneDrive\JP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</a:blip>
                          <a:srcRect l="19412" r="20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45" cy="1110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02224">
              <w:rPr>
                <w:rFonts w:ascii="ISOCPEUR" w:hAnsi="ISOCPEUR" w:cs="Arial"/>
                <w:i/>
                <w:caps/>
                <w:noProof/>
                <w:szCs w:val="28"/>
                <w:lang w:eastAsia="cs-CZ"/>
              </w:rPr>
              <w:drawing>
                <wp:anchor distT="0" distB="0" distL="114300" distR="114300" simplePos="0" relativeHeight="251655168" behindDoc="1" locked="0" layoutInCell="1" allowOverlap="1" wp14:anchorId="1B9A1FF9" wp14:editId="1B9A1FFA">
                  <wp:simplePos x="0" y="0"/>
                  <wp:positionH relativeFrom="column">
                    <wp:posOffset>3307080</wp:posOffset>
                  </wp:positionH>
                  <wp:positionV relativeFrom="paragraph">
                    <wp:posOffset>4789805</wp:posOffset>
                  </wp:positionV>
                  <wp:extent cx="945515" cy="1111885"/>
                  <wp:effectExtent l="19050" t="0" r="6985" b="0"/>
                  <wp:wrapNone/>
                  <wp:docPr id="1" name="obrázek 2" descr="D:\OneDrive\JP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OneDrive\JP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biLevel thresh="50000"/>
                          </a:blip>
                          <a:srcRect l="19412" r="20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51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02224">
              <w:rPr>
                <w:rFonts w:ascii="ISOCPEUR" w:hAnsi="ISOCPEUR" w:cs="Arial"/>
                <w:i/>
                <w:caps/>
                <w:noProof/>
                <w:szCs w:val="28"/>
                <w:lang w:eastAsia="cs-CZ"/>
              </w:rPr>
              <w:drawing>
                <wp:anchor distT="0" distB="0" distL="114300" distR="114300" simplePos="0" relativeHeight="251654144" behindDoc="1" locked="0" layoutInCell="1" allowOverlap="1" wp14:anchorId="1B9A1FFB" wp14:editId="1B9A1FFC">
                  <wp:simplePos x="0" y="0"/>
                  <wp:positionH relativeFrom="column">
                    <wp:posOffset>857885</wp:posOffset>
                  </wp:positionH>
                  <wp:positionV relativeFrom="paragraph">
                    <wp:posOffset>7611745</wp:posOffset>
                  </wp:positionV>
                  <wp:extent cx="945515" cy="1111885"/>
                  <wp:effectExtent l="19050" t="0" r="6985" b="0"/>
                  <wp:wrapNone/>
                  <wp:docPr id="7" name="obrázek 2" descr="D:\OneDrive\JP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OneDrive\JP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9412" r="20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51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B69C9" w:rsidRPr="00B02224">
              <w:rPr>
                <w:rFonts w:ascii="ISOCPEUR" w:hAnsi="ISOCPEUR" w:cs="Arial"/>
                <w:i/>
                <w:caps/>
                <w:noProof/>
                <w:szCs w:val="28"/>
                <w:lang w:eastAsia="cs-CZ"/>
              </w:rPr>
              <w:drawing>
                <wp:anchor distT="0" distB="0" distL="114300" distR="114300" simplePos="0" relativeHeight="251653120" behindDoc="1" locked="0" layoutInCell="1" allowOverlap="1" wp14:anchorId="1B9A1FFD" wp14:editId="1B9A1FFE">
                  <wp:simplePos x="0" y="0"/>
                  <wp:positionH relativeFrom="column">
                    <wp:posOffset>857885</wp:posOffset>
                  </wp:positionH>
                  <wp:positionV relativeFrom="paragraph">
                    <wp:posOffset>7611745</wp:posOffset>
                  </wp:positionV>
                  <wp:extent cx="945515" cy="1111885"/>
                  <wp:effectExtent l="19050" t="0" r="6985" b="0"/>
                  <wp:wrapNone/>
                  <wp:docPr id="12" name="obrázek 2" descr="D:\OneDrive\JPO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OneDrive\JPO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9412" r="20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51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gridSpan w:val="4"/>
          </w:tcPr>
          <w:p w14:paraId="1B9A1D89" w14:textId="77777777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  <w:b/>
                <w:szCs w:val="28"/>
              </w:rPr>
            </w:pPr>
            <w:r w:rsidRPr="00B02224">
              <w:rPr>
                <w:rFonts w:ascii="ISOCPEUR" w:hAnsi="ISOCPEUR" w:cs="Arial"/>
                <w:b/>
                <w:sz w:val="28"/>
                <w:szCs w:val="28"/>
              </w:rPr>
              <w:t xml:space="preserve">JPO služby s.r.o. </w:t>
            </w:r>
          </w:p>
          <w:p w14:paraId="1B9A1D8A" w14:textId="77777777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  <w:szCs w:val="28"/>
              </w:rPr>
            </w:pPr>
            <w:r w:rsidRPr="00B02224">
              <w:rPr>
                <w:rFonts w:ascii="ISOCPEUR" w:hAnsi="ISOCPEUR" w:cs="Arial"/>
                <w:sz w:val="22"/>
                <w:szCs w:val="28"/>
              </w:rPr>
              <w:t>Hlavní 123/157, 747 06 Opava</w:t>
            </w:r>
          </w:p>
          <w:p w14:paraId="1B9A1D8B" w14:textId="77777777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  <w:szCs w:val="28"/>
              </w:rPr>
            </w:pPr>
            <w:r w:rsidRPr="00B02224">
              <w:rPr>
                <w:rFonts w:ascii="ISOCPEUR" w:hAnsi="ISOCPEUR" w:cs="Arial"/>
                <w:sz w:val="22"/>
                <w:szCs w:val="28"/>
              </w:rPr>
              <w:t>IČO: 056 43 465   www.</w:t>
            </w:r>
            <w:r w:rsidR="00DE6CD2" w:rsidRPr="00B02224">
              <w:rPr>
                <w:rFonts w:ascii="ISOCPEUR" w:hAnsi="ISOCPEUR" w:cs="Arial"/>
                <w:sz w:val="22"/>
                <w:szCs w:val="28"/>
              </w:rPr>
              <w:t>jposluzby.cz</w:t>
            </w:r>
          </w:p>
          <w:p w14:paraId="1B9A1D8C" w14:textId="6EBF41C2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  <w:szCs w:val="28"/>
              </w:rPr>
            </w:pPr>
            <w:bookmarkStart w:id="2" w:name="_Hlk112394479"/>
            <w:bookmarkEnd w:id="2"/>
          </w:p>
        </w:tc>
        <w:tc>
          <w:tcPr>
            <w:tcW w:w="3433" w:type="dxa"/>
            <w:gridSpan w:val="2"/>
            <w:vAlign w:val="center"/>
          </w:tcPr>
          <w:p w14:paraId="1B9A1D8D" w14:textId="77777777" w:rsidR="00BC4E9D" w:rsidRPr="00B02224" w:rsidRDefault="00BC4E9D" w:rsidP="00BC4E9D">
            <w:pPr>
              <w:spacing w:line="276" w:lineRule="auto"/>
              <w:jc w:val="right"/>
              <w:rPr>
                <w:rFonts w:ascii="ISOCPEUR" w:hAnsi="ISOCPEUR" w:cs="Arial"/>
                <w:szCs w:val="28"/>
              </w:rPr>
            </w:pPr>
          </w:p>
          <w:p w14:paraId="1B9A1D8E" w14:textId="77777777" w:rsidR="00BC4E9D" w:rsidRPr="00B02224" w:rsidRDefault="00BC4E9D" w:rsidP="00BC4E9D">
            <w:pPr>
              <w:spacing w:line="276" w:lineRule="auto"/>
              <w:jc w:val="right"/>
              <w:rPr>
                <w:rFonts w:ascii="ISOCPEUR" w:hAnsi="ISOCPEUR" w:cs="Arial"/>
                <w:szCs w:val="28"/>
              </w:rPr>
            </w:pPr>
          </w:p>
          <w:p w14:paraId="1B9A1D8F" w14:textId="77777777" w:rsidR="00BC4E9D" w:rsidRPr="00B02224" w:rsidRDefault="00BC4E9D" w:rsidP="00BC4E9D">
            <w:pPr>
              <w:spacing w:line="276" w:lineRule="auto"/>
              <w:jc w:val="right"/>
              <w:rPr>
                <w:rFonts w:ascii="ISOCPEUR" w:hAnsi="ISOCPEUR" w:cs="Arial"/>
                <w:szCs w:val="28"/>
              </w:rPr>
            </w:pPr>
          </w:p>
        </w:tc>
      </w:tr>
      <w:tr w:rsidR="00021331" w:rsidRPr="00B02224" w14:paraId="1B9A1D96" w14:textId="77777777" w:rsidTr="00CF7139">
        <w:trPr>
          <w:gridAfter w:val="3"/>
          <w:wAfter w:w="5244" w:type="dxa"/>
          <w:trHeight w:val="293"/>
        </w:trPr>
        <w:tc>
          <w:tcPr>
            <w:tcW w:w="1668" w:type="dxa"/>
            <w:vMerge/>
          </w:tcPr>
          <w:p w14:paraId="1B9A1D91" w14:textId="77777777" w:rsidR="00021331" w:rsidRPr="00B02224" w:rsidRDefault="00021331" w:rsidP="00BC4E9D">
            <w:pPr>
              <w:spacing w:line="276" w:lineRule="auto"/>
              <w:rPr>
                <w:rFonts w:ascii="ISOCPEUR" w:hAnsi="ISOCPEUR" w:cs="Arial"/>
              </w:rPr>
            </w:pPr>
          </w:p>
        </w:tc>
        <w:tc>
          <w:tcPr>
            <w:tcW w:w="2725" w:type="dxa"/>
            <w:gridSpan w:val="3"/>
          </w:tcPr>
          <w:p w14:paraId="1B9A1D95" w14:textId="77777777" w:rsidR="00021331" w:rsidRPr="00B02224" w:rsidRDefault="00021331" w:rsidP="00BC4E9D">
            <w:pPr>
              <w:spacing w:line="276" w:lineRule="auto"/>
              <w:rPr>
                <w:rFonts w:ascii="ISOCPEUR" w:hAnsi="ISOCPEUR" w:cs="Arial"/>
                <w:b/>
              </w:rPr>
            </w:pPr>
          </w:p>
        </w:tc>
      </w:tr>
      <w:tr w:rsidR="00BC4E9D" w:rsidRPr="00B02224" w14:paraId="1B9A1D9E" w14:textId="77777777" w:rsidTr="00CF7139">
        <w:trPr>
          <w:trHeight w:val="917"/>
        </w:trPr>
        <w:tc>
          <w:tcPr>
            <w:tcW w:w="1668" w:type="dxa"/>
            <w:vMerge/>
          </w:tcPr>
          <w:p w14:paraId="1B9A1D97" w14:textId="77777777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</w:rPr>
            </w:pPr>
          </w:p>
        </w:tc>
        <w:tc>
          <w:tcPr>
            <w:tcW w:w="1984" w:type="dxa"/>
            <w:gridSpan w:val="2"/>
          </w:tcPr>
          <w:p w14:paraId="1B9A1D98" w14:textId="77777777" w:rsidR="00BC4E9D" w:rsidRPr="00B02224" w:rsidRDefault="00BC4E9D" w:rsidP="00BC4E9D">
            <w:pPr>
              <w:spacing w:line="276" w:lineRule="auto"/>
              <w:ind w:right="-108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  <w:sz w:val="22"/>
              </w:rPr>
              <w:t>Ing. Petr Matějek</w:t>
            </w:r>
          </w:p>
        </w:tc>
        <w:tc>
          <w:tcPr>
            <w:tcW w:w="3543" w:type="dxa"/>
            <w:gridSpan w:val="3"/>
          </w:tcPr>
          <w:p w14:paraId="1B9A1D99" w14:textId="5B0EFE21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  <w:sz w:val="22"/>
              </w:rPr>
              <w:t xml:space="preserve">724 395 001 </w:t>
            </w:r>
          </w:p>
          <w:p w14:paraId="1B9A1D9A" w14:textId="77777777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  <w:sz w:val="22"/>
              </w:rPr>
              <w:t>matejek@</w:t>
            </w:r>
            <w:r w:rsidR="006314A5" w:rsidRPr="00B02224">
              <w:rPr>
                <w:rFonts w:ascii="ISOCPEUR" w:hAnsi="ISOCPEUR" w:cs="Arial"/>
                <w:sz w:val="22"/>
              </w:rPr>
              <w:t>jposluzby.cz</w:t>
            </w:r>
            <w:r w:rsidRPr="00B02224">
              <w:rPr>
                <w:rFonts w:ascii="ISOCPEUR" w:hAnsi="ISOCPEUR" w:cs="Arial"/>
                <w:sz w:val="22"/>
              </w:rPr>
              <w:t xml:space="preserve"> </w:t>
            </w:r>
          </w:p>
          <w:p w14:paraId="1B9A1D9B" w14:textId="77777777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</w:rPr>
            </w:pPr>
          </w:p>
        </w:tc>
        <w:tc>
          <w:tcPr>
            <w:tcW w:w="2441" w:type="dxa"/>
          </w:tcPr>
          <w:p w14:paraId="1B9A1D9C" w14:textId="65DE9B85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</w:rPr>
            </w:pPr>
          </w:p>
          <w:p w14:paraId="1B9A1D9D" w14:textId="77777777" w:rsidR="00BC4E9D" w:rsidRPr="00B02224" w:rsidRDefault="00BC4E9D" w:rsidP="00BC4E9D">
            <w:pPr>
              <w:spacing w:line="276" w:lineRule="auto"/>
              <w:rPr>
                <w:rFonts w:ascii="ISOCPEUR" w:hAnsi="ISOCPEUR" w:cs="Arial"/>
              </w:rPr>
            </w:pPr>
          </w:p>
        </w:tc>
      </w:tr>
      <w:tr w:rsidR="00BC4E9D" w:rsidRPr="00B02224" w14:paraId="1B9A1DA2" w14:textId="77777777" w:rsidTr="00CF7139">
        <w:trPr>
          <w:trHeight w:val="397"/>
        </w:trPr>
        <w:tc>
          <w:tcPr>
            <w:tcW w:w="1668" w:type="dxa"/>
          </w:tcPr>
          <w:p w14:paraId="1B9A1D9F" w14:textId="77777777" w:rsidR="00BC4E9D" w:rsidRPr="00B02224" w:rsidRDefault="00BC4E9D" w:rsidP="00BC4E9D">
            <w:pPr>
              <w:spacing w:line="480" w:lineRule="auto"/>
              <w:rPr>
                <w:rFonts w:ascii="ISOCPEUR" w:hAnsi="ISOCPEUR" w:cs="Arial"/>
                <w:b/>
              </w:rPr>
            </w:pPr>
            <w:r w:rsidRPr="00B02224">
              <w:rPr>
                <w:rFonts w:ascii="ISOCPEUR" w:hAnsi="ISOCPEUR" w:cs="Arial"/>
                <w:i/>
                <w:caps/>
                <w:sz w:val="22"/>
                <w:szCs w:val="28"/>
              </w:rPr>
              <w:t>Datum:</w:t>
            </w:r>
          </w:p>
        </w:tc>
        <w:tc>
          <w:tcPr>
            <w:tcW w:w="1984" w:type="dxa"/>
            <w:gridSpan w:val="2"/>
          </w:tcPr>
          <w:p w14:paraId="4D19BEE1" w14:textId="15B8BFB9" w:rsidR="00561E7B" w:rsidRDefault="00561E7B" w:rsidP="00BC4E9D">
            <w:pPr>
              <w:spacing w:line="276" w:lineRule="auto"/>
              <w:rPr>
                <w:rFonts w:ascii="ISOCPEUR" w:hAnsi="ISOCPEUR" w:cs="Arial"/>
              </w:rPr>
            </w:pPr>
            <w:r>
              <w:rPr>
                <w:rFonts w:ascii="ISOCPEUR" w:hAnsi="ISOCPEUR" w:cs="Arial"/>
              </w:rPr>
              <w:t>Leden 2019</w:t>
            </w:r>
            <w:r w:rsidR="001F59D1">
              <w:rPr>
                <w:rFonts w:ascii="ISOCPEUR" w:hAnsi="ISOCPEUR" w:cs="Arial"/>
              </w:rPr>
              <w:t xml:space="preserve"> </w:t>
            </w:r>
            <w:r w:rsidR="00CF7139">
              <w:rPr>
                <w:rFonts w:ascii="ISOCPEUR" w:hAnsi="ISOCPEUR" w:cs="Arial"/>
              </w:rPr>
              <w:t>+</w:t>
            </w:r>
          </w:p>
          <w:p w14:paraId="1B9A1DA0" w14:textId="6C13C281" w:rsidR="00BC4E9D" w:rsidRPr="001F59D1" w:rsidRDefault="0021682B" w:rsidP="00BC4E9D">
            <w:pPr>
              <w:spacing w:line="276" w:lineRule="auto"/>
              <w:rPr>
                <w:rFonts w:ascii="ISOCPEUR" w:hAnsi="ISOCPEUR" w:cs="Arial"/>
                <w:color w:val="FF0000"/>
              </w:rPr>
            </w:pPr>
            <w:r w:rsidRPr="001F59D1">
              <w:rPr>
                <w:rFonts w:ascii="ISOCPEUR" w:hAnsi="ISOCPEUR" w:cs="Arial"/>
                <w:color w:val="FF0000"/>
              </w:rPr>
              <w:t>Leden 20</w:t>
            </w:r>
            <w:r w:rsidR="00021331" w:rsidRPr="001F59D1">
              <w:rPr>
                <w:rFonts w:ascii="ISOCPEUR" w:hAnsi="ISOCPEUR" w:cs="Arial"/>
                <w:color w:val="FF0000"/>
              </w:rPr>
              <w:t>2</w:t>
            </w:r>
            <w:r w:rsidR="00AD2F8F" w:rsidRPr="001F59D1">
              <w:rPr>
                <w:rFonts w:ascii="ISOCPEUR" w:hAnsi="ISOCPEUR" w:cs="Arial"/>
                <w:color w:val="FF0000"/>
              </w:rPr>
              <w:t>4</w:t>
            </w:r>
          </w:p>
        </w:tc>
        <w:tc>
          <w:tcPr>
            <w:tcW w:w="5984" w:type="dxa"/>
            <w:gridSpan w:val="4"/>
            <w:vAlign w:val="bottom"/>
          </w:tcPr>
          <w:p w14:paraId="1B9A1DA1" w14:textId="4F8E52C5" w:rsidR="00BC4E9D" w:rsidRPr="00B02224" w:rsidRDefault="00BC4E9D" w:rsidP="00BC4E9D">
            <w:pPr>
              <w:spacing w:line="276" w:lineRule="auto"/>
              <w:jc w:val="right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  <w:sz w:val="44"/>
              </w:rPr>
              <w:t>D.1.3.</w:t>
            </w:r>
          </w:p>
        </w:tc>
      </w:tr>
    </w:tbl>
    <w:bookmarkEnd w:id="1"/>
    <w:p w14:paraId="1B9A1DA3" w14:textId="77777777" w:rsidR="00A657FE" w:rsidRPr="00ED1A1A" w:rsidRDefault="00A657FE" w:rsidP="00A657FE">
      <w:pPr>
        <w:rPr>
          <w:rFonts w:ascii="ISOCPEUR" w:hAnsi="ISOCPEUR" w:cs="Calibri"/>
          <w:b/>
          <w:sz w:val="32"/>
          <w:szCs w:val="32"/>
        </w:rPr>
      </w:pPr>
      <w:r w:rsidRPr="00ED1A1A">
        <w:rPr>
          <w:rFonts w:ascii="ISOCPEUR" w:hAnsi="ISOCPEUR" w:cs="Calibri"/>
          <w:b/>
          <w:sz w:val="32"/>
          <w:szCs w:val="32"/>
        </w:rPr>
        <w:lastRenderedPageBreak/>
        <w:t>Obsah:</w:t>
      </w:r>
    </w:p>
    <w:p w14:paraId="1B9A1DA4" w14:textId="0447FA3C" w:rsidR="00ED1A1A" w:rsidRPr="00ED1A1A" w:rsidRDefault="00AB44EC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r w:rsidRPr="00ED1A1A">
        <w:rPr>
          <w:rFonts w:ascii="ISOCPEUR" w:hAnsi="ISOCPEUR" w:cs="Calibri"/>
          <w:sz w:val="16"/>
          <w:szCs w:val="28"/>
          <w:highlight w:val="yellow"/>
        </w:rPr>
        <w:fldChar w:fldCharType="begin"/>
      </w:r>
      <w:r w:rsidR="00A657FE" w:rsidRPr="00ED1A1A">
        <w:rPr>
          <w:rFonts w:ascii="ISOCPEUR" w:hAnsi="ISOCPEUR" w:cs="Calibri"/>
          <w:sz w:val="16"/>
          <w:szCs w:val="28"/>
          <w:highlight w:val="yellow"/>
        </w:rPr>
        <w:instrText xml:space="preserve"> TOC \o "1-2" \h \z \u </w:instrText>
      </w:r>
      <w:r w:rsidRPr="00ED1A1A">
        <w:rPr>
          <w:rFonts w:ascii="ISOCPEUR" w:hAnsi="ISOCPEUR" w:cs="Calibri"/>
          <w:sz w:val="16"/>
          <w:szCs w:val="28"/>
          <w:highlight w:val="yellow"/>
        </w:rPr>
        <w:fldChar w:fldCharType="separate"/>
      </w:r>
      <w:hyperlink w:anchor="_Toc408168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Úvod</w:t>
        </w:r>
        <w:r w:rsidR="00ED1A1A" w:rsidRPr="00ED1A1A">
          <w:rPr>
            <w:webHidden/>
            <w:sz w:val="20"/>
          </w:rPr>
          <w:tab/>
        </w:r>
        <w:r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_Toc408168 \h </w:instrText>
        </w:r>
        <w:r w:rsidRPr="00ED1A1A">
          <w:rPr>
            <w:webHidden/>
            <w:sz w:val="20"/>
          </w:rPr>
        </w:r>
        <w:r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3</w:t>
        </w:r>
        <w:r w:rsidRPr="00ED1A1A">
          <w:rPr>
            <w:webHidden/>
            <w:sz w:val="20"/>
          </w:rPr>
          <w:fldChar w:fldCharType="end"/>
        </w:r>
      </w:hyperlink>
    </w:p>
    <w:p w14:paraId="1B9A1DA5" w14:textId="56DE7FB6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69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a)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Seznam použitých podkladů pro zpracování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_Toc408169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4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A6" w14:textId="26B9A3D7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70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a.1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Zadávací dokumentace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_Toc408170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4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A7" w14:textId="3CEC2090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71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a.2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Právní a ostatní předpisy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_Toc408171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4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A8" w14:textId="18D183AA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72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a.3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Použité zkratky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_Toc408172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5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A9" w14:textId="0E203233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73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b)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Stručný popis stavby z hlediska stavebních konstrukcí, výšky stavby, účelu užití, popř. popisu a zhodnocení technologie a provozu, umístění stavby ve vztahu k okolní zástavbě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_Toc408173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6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AA" w14:textId="210B4E07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74" w:history="1">
        <w:r w:rsidR="00ED1A1A" w:rsidRPr="00ED1A1A">
          <w:rPr>
            <w:rStyle w:val="Hypertextovodkaz"/>
            <w:rFonts w:ascii="ISOCPEUR" w:eastAsia="SimSun" w:hAnsi="ISOCPEUR" w:cs="Calibri"/>
            <w:b/>
            <w:bCs/>
            <w:iCs/>
            <w:noProof/>
            <w:sz w:val="16"/>
          </w:rPr>
          <w:t>Stavební řešení - stávající objekt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_Toc408174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6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AB" w14:textId="79CB43E7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79" w:history="1">
        <w:r w:rsidR="00ED1A1A" w:rsidRPr="00ED1A1A">
          <w:rPr>
            <w:rStyle w:val="Hypertextovodkaz"/>
            <w:rFonts w:ascii="ISOCPEUR" w:eastAsia="SimSun" w:hAnsi="ISOCPEUR" w:cs="Calibri"/>
            <w:b/>
            <w:bCs/>
            <w:iCs/>
            <w:noProof/>
            <w:sz w:val="16"/>
          </w:rPr>
          <w:t>Stavební řešení - navrhované zastřešení átria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_Toc408179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6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AC" w14:textId="39A7262E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80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b.1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Koncepce požárně bezpečnostního řešení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_Toc408180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6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AD" w14:textId="6525EAE2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81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b.2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Rozdělení stavby do požárních úseků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_Toc408181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7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AE" w14:textId="6CA2D8A3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82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c)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Stanovení požárního rizika, popř. ekonomického rizika, stanovení stupně požární bezpečnosti a posouzení velikosti požárních úseků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_Toc408182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7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AF" w14:textId="32009996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83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c.1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Požární riziko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_Toc408183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7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0" w14:textId="0E83E2AF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84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c.2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Stanovení stupně požární bezpečnosti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_Toc408184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7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1" w14:textId="23FA8A8A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85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d)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Mezní rozměry požárních úseků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_Toc408185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7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2" w14:textId="1A6AB084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86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e)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Zhodnocení navržených stavebních konstrukcí a požárních uzávěrů z hlediska jejich požární odolnosti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_Toc408186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7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3" w14:textId="1BF6D495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87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f)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Zhodnocení navžených stavebních hmot (stupeň hořlavosti, odkapávaní v podmínkách požáru, rychlost šíření po povrchu, toxicita zplodin hoření apod.)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_Toc408187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9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4" w14:textId="05438A78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88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g)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Únikové cesty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_Toc408188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9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5" w14:textId="758ECE70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89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g.1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Provedení únikových cest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_Toc408189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9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6" w14:textId="49AD9333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90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h)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Stanovení odstupových, popř. bezpečnostních vzdáleností a vymezení požárně nebezpečného prostoru, zhodnocení odstupových vzdáleností ve vztahu k okolní zástavbě, sousedním pozemkům a volným skladům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_Toc408190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10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7" w14:textId="2B492AB5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91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i)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určení způsobu zabezpečení stavby požární vodou včetně rozmístění vnitřních a vnějších odběrných míst, popřípadě způsobu zabezpečení jiných hasebních prostředků u staveb, kde nelze použít vodu jako hasební látku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_Toc408191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10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8" w14:textId="3DA00D10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92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i.1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Vnější odběrní místa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_Toc408192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10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9" w14:textId="73F09D75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93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i.2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Vnitřní odběrní místa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_Toc408193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10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A" w14:textId="48444C8A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94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j)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Vybavení zásahových cest a jejich technického vybavení, opatření k zajištění bezpečnosti osob provádějících hašení požáru a záchranné práce, zhodnocení příjezdových komunikací, popř. nástupních ploch pro požární techniku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_Toc408194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10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B" w14:textId="50873DB6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95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j.1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Zásahové cesty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_Toc408195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10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C" w14:textId="03D8A232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96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j.2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Příjezdové a přístupové komunikace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_Toc408196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10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D" w14:textId="4338E6D6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97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j.3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Nástupní plocha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_Toc408197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10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BE" w14:textId="099A51C0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198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k)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Stanovení počtu, druhů a způsobu rozmístění hasicích přístrojů, popřípadě dalších věcných prostředků požární ochrany nebo požární techniky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_Toc408198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11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BF" w14:textId="0AC4F1B5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199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k.1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Přenosné hasicí přístroje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_Toc408199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11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C0" w14:textId="0C9E49C7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200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l)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Zhodnocení technických, popř. technologických zařízení stavby (rozvodná potrubí, vzduchotechnická zařízení, vytápění apod.) z hlediska požadavků požární bezpečnosti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_Toc408200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11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C1" w14:textId="04F9F412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201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l.1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Elektroinstalace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_Toc408201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11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C2" w14:textId="3467E18F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202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l.2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Vytápění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_Toc408202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11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C3" w14:textId="429C0DA4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203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l.1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Větrání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_Toc408203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11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C4" w14:textId="3BCBDF7E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204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m)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Stanovení zvláštních požadavků na zvýšení požární odolnosti stavebních konstrukcí nebo snížení hořlavosti stavebních hmot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_Toc408204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11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C5" w14:textId="001481E3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205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n)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Posouzení požadavků na zabezpečení stavby požárně bezpečnostními zařízeními, následně stanovení podmínek a návrh způsobou jejich umístění a instalace do stavby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_Toc408205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11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C6" w14:textId="5DDA6584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206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o)</w:t>
        </w:r>
        <w:r w:rsidR="00ED1A1A" w:rsidRPr="00ED1A1A">
          <w:rPr>
            <w:rFonts w:asciiTheme="minorHAnsi" w:eastAsiaTheme="minorEastAsia" w:hAnsiTheme="minorHAnsi" w:cstheme="minorBidi"/>
            <w:b w:val="0"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sz w:val="20"/>
          </w:rPr>
          <w:t>Rozsah a způsob rozmístění výstražných a bezpečnostních značek a tabulek, včetně vyhodnocení nutnosti označení míst na kterých se nachází věcné prostředky požární ochrany a požárně bezpečnostní zařízení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_Toc408206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12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C7" w14:textId="15B6CA44" w:rsidR="00ED1A1A" w:rsidRPr="00ED1A1A" w:rsidRDefault="00005017">
      <w:pPr>
        <w:pStyle w:val="Obsah2"/>
        <w:rPr>
          <w:rFonts w:asciiTheme="minorHAnsi" w:eastAsiaTheme="minorEastAsia" w:hAnsiTheme="minorHAnsi" w:cstheme="minorBidi"/>
          <w:noProof/>
          <w:sz w:val="18"/>
          <w:szCs w:val="22"/>
        </w:rPr>
      </w:pPr>
      <w:hyperlink w:anchor="_Toc408207" w:history="1"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o.1</w:t>
        </w:r>
        <w:r w:rsidR="00ED1A1A" w:rsidRPr="00ED1A1A">
          <w:rPr>
            <w:rFonts w:asciiTheme="minorHAnsi" w:eastAsiaTheme="minorEastAsia" w:hAnsiTheme="minorHAnsi" w:cstheme="minorBidi"/>
            <w:noProof/>
            <w:sz w:val="18"/>
            <w:szCs w:val="22"/>
          </w:rPr>
          <w:tab/>
        </w:r>
        <w:r w:rsidR="00ED1A1A" w:rsidRPr="00ED1A1A">
          <w:rPr>
            <w:rStyle w:val="Hypertextovodkaz"/>
            <w:rFonts w:ascii="ISOCPEUR" w:eastAsia="SimSun" w:hAnsi="ISOCPEUR"/>
            <w:noProof/>
            <w:sz w:val="16"/>
          </w:rPr>
          <w:t>Bezpečnostní značky a tabulky</w:t>
        </w:r>
        <w:r w:rsidR="00ED1A1A" w:rsidRPr="00ED1A1A">
          <w:rPr>
            <w:noProof/>
            <w:webHidden/>
            <w:sz w:val="16"/>
          </w:rPr>
          <w:tab/>
        </w:r>
        <w:r w:rsidR="00AB44EC" w:rsidRPr="00ED1A1A">
          <w:rPr>
            <w:noProof/>
            <w:webHidden/>
            <w:sz w:val="16"/>
          </w:rPr>
          <w:fldChar w:fldCharType="begin"/>
        </w:r>
        <w:r w:rsidR="00ED1A1A" w:rsidRPr="00ED1A1A">
          <w:rPr>
            <w:noProof/>
            <w:webHidden/>
            <w:sz w:val="16"/>
          </w:rPr>
          <w:instrText xml:space="preserve"> PAGEREF _Toc408207 \h </w:instrText>
        </w:r>
        <w:r w:rsidR="00AB44EC" w:rsidRPr="00ED1A1A">
          <w:rPr>
            <w:noProof/>
            <w:webHidden/>
            <w:sz w:val="16"/>
          </w:rPr>
        </w:r>
        <w:r w:rsidR="00AB44EC" w:rsidRPr="00ED1A1A">
          <w:rPr>
            <w:noProof/>
            <w:webHidden/>
            <w:sz w:val="16"/>
          </w:rPr>
          <w:fldChar w:fldCharType="separate"/>
        </w:r>
        <w:r w:rsidR="002B41E3">
          <w:rPr>
            <w:noProof/>
            <w:webHidden/>
            <w:sz w:val="16"/>
          </w:rPr>
          <w:t>12</w:t>
        </w:r>
        <w:r w:rsidR="00AB44EC" w:rsidRPr="00ED1A1A">
          <w:rPr>
            <w:noProof/>
            <w:webHidden/>
            <w:sz w:val="16"/>
          </w:rPr>
          <w:fldChar w:fldCharType="end"/>
        </w:r>
      </w:hyperlink>
    </w:p>
    <w:p w14:paraId="1B9A1DC8" w14:textId="0FE88D1B" w:rsidR="00ED1A1A" w:rsidRPr="00ED1A1A" w:rsidRDefault="00005017">
      <w:pPr>
        <w:pStyle w:val="Obsah1"/>
        <w:rPr>
          <w:rFonts w:asciiTheme="minorHAnsi" w:eastAsiaTheme="minorEastAsia" w:hAnsiTheme="minorHAnsi" w:cstheme="minorBidi"/>
          <w:b w:val="0"/>
          <w:sz w:val="18"/>
          <w:szCs w:val="22"/>
        </w:rPr>
      </w:pPr>
      <w:hyperlink w:anchor="_Toc408208" w:history="1">
        <w:r w:rsidR="00ED1A1A" w:rsidRPr="00ED1A1A">
          <w:rPr>
            <w:rStyle w:val="Hypertextovodkaz"/>
            <w:rFonts w:ascii="ISOCPEUR" w:eastAsia="SimSun" w:hAnsi="ISOCPEUR"/>
            <w:sz w:val="20"/>
          </w:rPr>
          <w:t>Závěr</w:t>
        </w:r>
        <w:r w:rsidR="00ED1A1A" w:rsidRPr="00ED1A1A">
          <w:rPr>
            <w:webHidden/>
            <w:sz w:val="20"/>
          </w:rPr>
          <w:tab/>
        </w:r>
        <w:r w:rsidR="00AB44EC" w:rsidRPr="00ED1A1A">
          <w:rPr>
            <w:webHidden/>
            <w:sz w:val="20"/>
          </w:rPr>
          <w:fldChar w:fldCharType="begin"/>
        </w:r>
        <w:r w:rsidR="00ED1A1A" w:rsidRPr="00ED1A1A">
          <w:rPr>
            <w:webHidden/>
            <w:sz w:val="20"/>
          </w:rPr>
          <w:instrText xml:space="preserve"> PAGEREF _Toc408208 \h </w:instrText>
        </w:r>
        <w:r w:rsidR="00AB44EC" w:rsidRPr="00ED1A1A">
          <w:rPr>
            <w:webHidden/>
            <w:sz w:val="20"/>
          </w:rPr>
        </w:r>
        <w:r w:rsidR="00AB44EC" w:rsidRPr="00ED1A1A">
          <w:rPr>
            <w:webHidden/>
            <w:sz w:val="20"/>
          </w:rPr>
          <w:fldChar w:fldCharType="separate"/>
        </w:r>
        <w:r w:rsidR="002B41E3">
          <w:rPr>
            <w:webHidden/>
            <w:sz w:val="20"/>
          </w:rPr>
          <w:t>12</w:t>
        </w:r>
        <w:r w:rsidR="00AB44EC" w:rsidRPr="00ED1A1A">
          <w:rPr>
            <w:webHidden/>
            <w:sz w:val="20"/>
          </w:rPr>
          <w:fldChar w:fldCharType="end"/>
        </w:r>
      </w:hyperlink>
    </w:p>
    <w:p w14:paraId="1B9A1DC9" w14:textId="77777777" w:rsidR="00A657FE" w:rsidRPr="00B02224" w:rsidRDefault="00AB44EC" w:rsidP="00483348">
      <w:pPr>
        <w:spacing w:line="276" w:lineRule="auto"/>
        <w:rPr>
          <w:rFonts w:ascii="ISOCPEUR" w:hAnsi="ISOCPEUR" w:cs="Calibri"/>
          <w:b/>
          <w:sz w:val="20"/>
          <w:szCs w:val="28"/>
          <w:highlight w:val="yellow"/>
        </w:rPr>
      </w:pPr>
      <w:r w:rsidRPr="00ED1A1A">
        <w:rPr>
          <w:rFonts w:ascii="ISOCPEUR" w:hAnsi="ISOCPEUR" w:cs="Calibri"/>
          <w:b/>
          <w:sz w:val="16"/>
          <w:szCs w:val="28"/>
          <w:highlight w:val="yellow"/>
        </w:rPr>
        <w:fldChar w:fldCharType="end"/>
      </w:r>
    </w:p>
    <w:p w14:paraId="1B9A1DCA" w14:textId="77777777" w:rsidR="00485FF6" w:rsidRPr="00B02224" w:rsidRDefault="00485FF6" w:rsidP="00483348">
      <w:pPr>
        <w:spacing w:line="276" w:lineRule="auto"/>
        <w:rPr>
          <w:rFonts w:ascii="ISOCPEUR" w:hAnsi="ISOCPEUR" w:cs="Calibri"/>
          <w:b/>
          <w:sz w:val="20"/>
          <w:szCs w:val="28"/>
          <w:highlight w:val="yellow"/>
        </w:rPr>
      </w:pPr>
    </w:p>
    <w:p w14:paraId="1B9A1DCB" w14:textId="77777777" w:rsidR="00485FF6" w:rsidRPr="00B02224" w:rsidRDefault="00485FF6" w:rsidP="00483348">
      <w:pPr>
        <w:spacing w:line="276" w:lineRule="auto"/>
        <w:rPr>
          <w:rFonts w:ascii="ISOCPEUR" w:hAnsi="ISOCPEUR" w:cs="Calibri"/>
          <w:b/>
          <w:sz w:val="28"/>
          <w:szCs w:val="28"/>
          <w:highlight w:val="yellow"/>
        </w:rPr>
      </w:pPr>
    </w:p>
    <w:p w14:paraId="1B9A1DCC" w14:textId="77777777" w:rsidR="00F849C2" w:rsidRPr="00B02224" w:rsidRDefault="00F849C2" w:rsidP="00F849C2">
      <w:pPr>
        <w:pStyle w:val="Nadpis1"/>
        <w:numPr>
          <w:ilvl w:val="0"/>
          <w:numId w:val="0"/>
        </w:numPr>
        <w:ind w:left="432" w:hanging="432"/>
        <w:rPr>
          <w:rFonts w:ascii="ISOCPEUR" w:hAnsi="ISOCPEUR"/>
        </w:rPr>
      </w:pPr>
      <w:bookmarkStart w:id="3" w:name="_Toc412711132"/>
      <w:bookmarkStart w:id="4" w:name="_Toc408168"/>
      <w:bookmarkStart w:id="5" w:name="_Toc376696918"/>
      <w:bookmarkEnd w:id="0"/>
      <w:r w:rsidRPr="00B02224">
        <w:rPr>
          <w:rFonts w:ascii="ISOCPEUR" w:hAnsi="ISOCPEUR"/>
        </w:rPr>
        <w:lastRenderedPageBreak/>
        <w:t>Úvod</w:t>
      </w:r>
      <w:bookmarkEnd w:id="3"/>
      <w:bookmarkEnd w:id="4"/>
    </w:p>
    <w:p w14:paraId="1B9A1DCD" w14:textId="77777777" w:rsidR="0023547F" w:rsidRPr="00B02224" w:rsidRDefault="0035566B" w:rsidP="0023547F">
      <w:pPr>
        <w:pStyle w:val="499textodrazeny"/>
        <w:spacing w:line="276" w:lineRule="auto"/>
        <w:ind w:left="0"/>
        <w:jc w:val="both"/>
        <w:rPr>
          <w:rFonts w:ascii="ISOCPEUR" w:hAnsi="ISOCPEUR" w:cs="Times New Roman"/>
          <w:color w:val="auto"/>
          <w:sz w:val="24"/>
          <w:szCs w:val="24"/>
        </w:rPr>
      </w:pPr>
      <w:r w:rsidRPr="00B02224">
        <w:rPr>
          <w:rFonts w:ascii="ISOCPEUR" w:hAnsi="ISOCPEUR" w:cs="Times New Roman"/>
          <w:color w:val="auto"/>
          <w:sz w:val="24"/>
          <w:szCs w:val="24"/>
        </w:rPr>
        <w:t xml:space="preserve">Dokumentace </w:t>
      </w:r>
      <w:proofErr w:type="gramStart"/>
      <w:r w:rsidRPr="00B02224">
        <w:rPr>
          <w:rFonts w:ascii="ISOCPEUR" w:hAnsi="ISOCPEUR" w:cs="Times New Roman"/>
          <w:color w:val="auto"/>
          <w:sz w:val="24"/>
          <w:szCs w:val="24"/>
        </w:rPr>
        <w:t>řeší</w:t>
      </w:r>
      <w:proofErr w:type="gramEnd"/>
      <w:r w:rsidR="0023547F" w:rsidRPr="00B02224">
        <w:rPr>
          <w:rFonts w:ascii="ISOCPEUR" w:hAnsi="ISOCPEUR" w:cs="Times New Roman"/>
          <w:color w:val="auto"/>
          <w:sz w:val="24"/>
          <w:szCs w:val="24"/>
        </w:rPr>
        <w:t xml:space="preserve"> </w:t>
      </w:r>
      <w:bookmarkStart w:id="6" w:name="_Hlk535828511"/>
      <w:r w:rsidR="0023547F" w:rsidRPr="00B02224">
        <w:rPr>
          <w:rFonts w:ascii="ISOCPEUR" w:hAnsi="ISOCPEUR" w:cs="Times New Roman"/>
          <w:color w:val="auto"/>
          <w:sz w:val="24"/>
          <w:szCs w:val="24"/>
        </w:rPr>
        <w:t>zastřešení části atria mezi historickou budovou Slezské univerzity a novou univerzitní knihovnou. Zastřešení atria je uvažováno v 2. nadzemním podlaží, v 1. nadzemním podlaží se nachází stávající zastřešené garáže. Návrh nepředpokládá se zřizováním nových inženýrských sítí – budou použity stávající vnitřní rozvody.</w:t>
      </w:r>
    </w:p>
    <w:p w14:paraId="1B9A1DCE" w14:textId="77777777" w:rsidR="00652331" w:rsidRPr="00B02224" w:rsidRDefault="00652331" w:rsidP="0023547F">
      <w:pPr>
        <w:pStyle w:val="499textodrazeny"/>
        <w:spacing w:line="276" w:lineRule="auto"/>
        <w:ind w:left="0"/>
        <w:jc w:val="both"/>
        <w:rPr>
          <w:rFonts w:ascii="ISOCPEUR" w:hAnsi="ISOCPEUR" w:cs="Times New Roman"/>
          <w:color w:val="auto"/>
          <w:sz w:val="24"/>
          <w:szCs w:val="24"/>
        </w:rPr>
      </w:pPr>
      <w:r w:rsidRPr="00B02224">
        <w:rPr>
          <w:rFonts w:ascii="ISOCPEUR" w:hAnsi="ISOCPEUR" w:cs="Times New Roman"/>
          <w:color w:val="auto"/>
          <w:sz w:val="24"/>
          <w:szCs w:val="24"/>
        </w:rPr>
        <w:t xml:space="preserve">Zastřešené atrium bude sloužit studentům jako odpočinková relaxační část, vybavená jednoduchým </w:t>
      </w:r>
      <w:r w:rsidR="00BD58B5" w:rsidRPr="00B02224">
        <w:rPr>
          <w:rFonts w:ascii="ISOCPEUR" w:hAnsi="ISOCPEUR" w:cs="Times New Roman"/>
          <w:color w:val="auto"/>
          <w:sz w:val="24"/>
          <w:szCs w:val="24"/>
        </w:rPr>
        <w:t>nábytkem (stoly + židle)</w:t>
      </w:r>
      <w:r w:rsidR="008F49A5" w:rsidRPr="00B02224">
        <w:rPr>
          <w:rFonts w:ascii="ISOCPEUR" w:hAnsi="ISOCPEUR" w:cs="Times New Roman"/>
          <w:color w:val="auto"/>
          <w:sz w:val="24"/>
          <w:szCs w:val="24"/>
        </w:rPr>
        <w:t>; s možností občerstvení "kavárna".</w:t>
      </w:r>
      <w:r w:rsidRPr="00B02224">
        <w:rPr>
          <w:rFonts w:ascii="ISOCPEUR" w:hAnsi="ISOCPEUR" w:cs="Times New Roman"/>
          <w:color w:val="auto"/>
          <w:sz w:val="24"/>
          <w:szCs w:val="24"/>
        </w:rPr>
        <w:t xml:space="preserve"> </w:t>
      </w:r>
    </w:p>
    <w:bookmarkEnd w:id="6"/>
    <w:p w14:paraId="1B9A1DCF" w14:textId="6A4AFDFE" w:rsidR="00F849C2" w:rsidRDefault="00F849C2" w:rsidP="00F849C2">
      <w:pPr>
        <w:tabs>
          <w:tab w:val="left" w:pos="6663"/>
        </w:tabs>
        <w:spacing w:before="120" w:after="120"/>
        <w:jc w:val="both"/>
        <w:rPr>
          <w:rFonts w:ascii="ISOCPEUR" w:hAnsi="ISOCPEUR" w:cs="Calibri"/>
          <w:b/>
          <w:color w:val="FF0000"/>
        </w:rPr>
      </w:pPr>
      <w:r w:rsidRPr="00B02224">
        <w:rPr>
          <w:rFonts w:ascii="ISOCPEUR" w:hAnsi="ISOCPEUR" w:cs="Calibri"/>
          <w:b/>
        </w:rPr>
        <w:t>Toto požárně bezpečnostní řešení posuzuje navrhovan</w:t>
      </w:r>
      <w:r w:rsidR="00F8069C" w:rsidRPr="00B02224">
        <w:rPr>
          <w:rFonts w:ascii="ISOCPEUR" w:hAnsi="ISOCPEUR" w:cs="Calibri"/>
          <w:b/>
        </w:rPr>
        <w:t>é zastřešení</w:t>
      </w:r>
      <w:r w:rsidRPr="00B02224">
        <w:rPr>
          <w:rFonts w:ascii="ISOCPEUR" w:hAnsi="ISOCPEUR" w:cs="Calibri"/>
          <w:b/>
        </w:rPr>
        <w:t xml:space="preserve"> (včetně osazení na pozemku stavebníka</w:t>
      </w:r>
      <w:r w:rsidR="00017F6F" w:rsidRPr="00B02224">
        <w:rPr>
          <w:rFonts w:ascii="ISOCPEUR" w:hAnsi="ISOCPEUR" w:cs="Calibri"/>
          <w:b/>
        </w:rPr>
        <w:t xml:space="preserve"> a sousedních objektů</w:t>
      </w:r>
      <w:r w:rsidRPr="00B02224">
        <w:rPr>
          <w:rFonts w:ascii="ISOCPEUR" w:hAnsi="ISOCPEUR" w:cs="Calibri"/>
          <w:b/>
        </w:rPr>
        <w:t xml:space="preserve">) ve vztahu k podmínkám požární bezpečnosti. </w:t>
      </w:r>
      <w:r w:rsidR="00CF7139" w:rsidRPr="003E1CF8">
        <w:rPr>
          <w:rFonts w:ascii="ISOCPEUR" w:hAnsi="ISOCPEUR" w:cs="Calibri"/>
          <w:b/>
          <w:color w:val="FF0000"/>
        </w:rPr>
        <w:t xml:space="preserve">Toto Požárně bezpečnostní řešení je </w:t>
      </w:r>
      <w:r w:rsidR="004609CC">
        <w:rPr>
          <w:rFonts w:ascii="ISOCPEUR" w:hAnsi="ISOCPEUR" w:cs="Calibri"/>
          <w:b/>
          <w:color w:val="FF0000"/>
        </w:rPr>
        <w:t xml:space="preserve">kontrolou stanovených </w:t>
      </w:r>
      <w:r w:rsidR="00CF7139" w:rsidRPr="003E1CF8">
        <w:rPr>
          <w:rFonts w:ascii="ISOCPEUR" w:hAnsi="ISOCPEUR" w:cs="Calibri"/>
          <w:b/>
          <w:color w:val="FF0000"/>
        </w:rPr>
        <w:t>podmínek po</w:t>
      </w:r>
      <w:r w:rsidR="006A6327" w:rsidRPr="003E1CF8">
        <w:rPr>
          <w:rFonts w:ascii="ISOCPEUR" w:hAnsi="ISOCPEUR" w:cs="Calibri"/>
          <w:b/>
          <w:color w:val="FF0000"/>
        </w:rPr>
        <w:t>žární bezpečnosti definovaných v řešení z </w:t>
      </w:r>
      <w:proofErr w:type="gramStart"/>
      <w:r w:rsidR="006A6327" w:rsidRPr="003E1CF8">
        <w:rPr>
          <w:rFonts w:ascii="ISOCPEUR" w:hAnsi="ISOCPEUR" w:cs="Calibri"/>
          <w:b/>
          <w:color w:val="FF0000"/>
        </w:rPr>
        <w:t>Leden</w:t>
      </w:r>
      <w:proofErr w:type="gramEnd"/>
      <w:r w:rsidR="006A6327" w:rsidRPr="003E1CF8">
        <w:rPr>
          <w:rFonts w:ascii="ISOCPEUR" w:hAnsi="ISOCPEUR" w:cs="Calibri"/>
          <w:b/>
          <w:color w:val="FF0000"/>
        </w:rPr>
        <w:t xml:space="preserve"> 2019</w:t>
      </w:r>
      <w:r w:rsidR="00861D17">
        <w:rPr>
          <w:rFonts w:ascii="ISOCPEUR" w:hAnsi="ISOCPEUR" w:cs="Calibri"/>
          <w:b/>
          <w:color w:val="FF0000"/>
        </w:rPr>
        <w:t>, Ing. Petr Matějek, ČKAIT 110</w:t>
      </w:r>
      <w:r w:rsidR="006D5BF8">
        <w:rPr>
          <w:rFonts w:ascii="ISOCPEUR" w:hAnsi="ISOCPEUR" w:cs="Calibri"/>
          <w:b/>
          <w:color w:val="FF0000"/>
        </w:rPr>
        <w:t>3403, S</w:t>
      </w:r>
      <w:r w:rsidR="005A7899">
        <w:rPr>
          <w:rFonts w:ascii="ISOCPEUR" w:hAnsi="ISOCPEUR" w:cs="Calibri"/>
          <w:b/>
          <w:color w:val="FF0000"/>
        </w:rPr>
        <w:t xml:space="preserve">tanovisko HZS </w:t>
      </w:r>
      <w:r w:rsidR="00443DD0">
        <w:rPr>
          <w:rFonts w:ascii="ISOCPEUR" w:hAnsi="ISOCPEUR" w:cs="Calibri"/>
          <w:b/>
          <w:color w:val="FF0000"/>
        </w:rPr>
        <w:t xml:space="preserve">ze dne </w:t>
      </w:r>
      <w:r w:rsidR="00C06FF0">
        <w:rPr>
          <w:rFonts w:ascii="ISOCPEUR" w:hAnsi="ISOCPEUR" w:cs="Calibri"/>
          <w:b/>
          <w:color w:val="FF0000"/>
        </w:rPr>
        <w:t xml:space="preserve">26.3.2019, č.j. </w:t>
      </w:r>
      <w:r w:rsidR="00A342BA">
        <w:rPr>
          <w:rFonts w:ascii="ISOCPEUR" w:hAnsi="ISOCPEUR" w:cs="Calibri"/>
          <w:b/>
          <w:color w:val="FF0000"/>
        </w:rPr>
        <w:t>HSOS-2638-2/20219</w:t>
      </w:r>
      <w:r w:rsidR="00B21164">
        <w:rPr>
          <w:rFonts w:ascii="ISOCPEUR" w:hAnsi="ISOCPEUR" w:cs="Calibri"/>
          <w:b/>
          <w:color w:val="FF0000"/>
        </w:rPr>
        <w:t xml:space="preserve">, v návaznosti na aktualizovanou </w:t>
      </w:r>
      <w:r w:rsidR="00C06FF0">
        <w:rPr>
          <w:rFonts w:ascii="ISOCPEUR" w:hAnsi="ISOCPEUR" w:cs="Calibri"/>
          <w:b/>
          <w:color w:val="FF0000"/>
        </w:rPr>
        <w:t xml:space="preserve">stavební </w:t>
      </w:r>
      <w:r w:rsidR="00B21164">
        <w:rPr>
          <w:rFonts w:ascii="ISOCPEUR" w:hAnsi="ISOCPEUR" w:cs="Calibri"/>
          <w:b/>
          <w:color w:val="FF0000"/>
        </w:rPr>
        <w:t xml:space="preserve">dokumentaci </w:t>
      </w:r>
      <w:r w:rsidR="00626C54">
        <w:rPr>
          <w:rFonts w:ascii="ISOCPEUR" w:hAnsi="ISOCPEUR" w:cs="Calibri"/>
          <w:b/>
          <w:color w:val="FF0000"/>
        </w:rPr>
        <w:t>zpracovanou autorským kolektivem Atelier 38 s.r.o. z 1/2024</w:t>
      </w:r>
      <w:r w:rsidR="00C34F85">
        <w:rPr>
          <w:rFonts w:ascii="ISOCPEUR" w:hAnsi="ISOCPEUR" w:cs="Calibri"/>
          <w:b/>
          <w:color w:val="FF0000"/>
        </w:rPr>
        <w:t>, zodpovědný projektant Ing. Luděk Valík</w:t>
      </w:r>
      <w:r w:rsidR="007319BD">
        <w:rPr>
          <w:rFonts w:ascii="ISOCPEUR" w:hAnsi="ISOCPEUR" w:cs="Calibri"/>
          <w:b/>
          <w:color w:val="FF0000"/>
        </w:rPr>
        <w:t>, ČKAIT 1102452</w:t>
      </w:r>
      <w:r w:rsidR="00617101">
        <w:rPr>
          <w:rFonts w:ascii="ISOCPEUR" w:hAnsi="ISOCPEUR" w:cs="Calibri"/>
          <w:b/>
          <w:color w:val="FF0000"/>
        </w:rPr>
        <w:t>, dále je ověřeno, že v</w:t>
      </w:r>
      <w:r w:rsidR="00976C11">
        <w:rPr>
          <w:rFonts w:ascii="ISOCPEUR" w:hAnsi="ISOCPEUR" w:cs="Calibri"/>
          <w:b/>
          <w:color w:val="FF0000"/>
        </w:rPr>
        <w:t> </w:t>
      </w:r>
      <w:r w:rsidR="00617101">
        <w:rPr>
          <w:rFonts w:ascii="ISOCPEUR" w:hAnsi="ISOCPEUR" w:cs="Calibri"/>
          <w:b/>
          <w:color w:val="FF0000"/>
        </w:rPr>
        <w:t>uplynu</w:t>
      </w:r>
      <w:r w:rsidR="00976C11">
        <w:rPr>
          <w:rFonts w:ascii="ISOCPEUR" w:hAnsi="ISOCPEUR" w:cs="Calibri"/>
          <w:b/>
          <w:color w:val="FF0000"/>
        </w:rPr>
        <w:t>lých letech nedošlo ke změně legislativy v návaznosti na češ by musel být měněn koncept požární bezpečnosti</w:t>
      </w:r>
      <w:r w:rsidR="007319BD">
        <w:rPr>
          <w:rFonts w:ascii="ISOCPEUR" w:hAnsi="ISOCPEUR" w:cs="Calibri"/>
          <w:b/>
          <w:color w:val="FF0000"/>
        </w:rPr>
        <w:t xml:space="preserve">. Aktualizace zachovává původní </w:t>
      </w:r>
      <w:r w:rsidR="00EB3C50">
        <w:rPr>
          <w:rFonts w:ascii="ISOCPEUR" w:hAnsi="ISOCPEUR" w:cs="Calibri"/>
          <w:b/>
          <w:color w:val="FF0000"/>
        </w:rPr>
        <w:t xml:space="preserve">objem a charakter navrhované stavby a </w:t>
      </w:r>
      <w:r w:rsidR="00CC0B28">
        <w:rPr>
          <w:rFonts w:ascii="ISOCPEUR" w:hAnsi="ISOCPEUR" w:cs="Calibri"/>
          <w:b/>
          <w:color w:val="FF0000"/>
        </w:rPr>
        <w:t xml:space="preserve">pouze drobně mění </w:t>
      </w:r>
      <w:r w:rsidR="00290AB9">
        <w:rPr>
          <w:rFonts w:ascii="ISOCPEUR" w:hAnsi="ISOCPEUR" w:cs="Calibri"/>
          <w:b/>
          <w:color w:val="FF0000"/>
        </w:rPr>
        <w:t xml:space="preserve">komunikační propojení </w:t>
      </w:r>
      <w:r w:rsidR="00022DDE">
        <w:rPr>
          <w:rFonts w:ascii="ISOCPEUR" w:hAnsi="ISOCPEUR" w:cs="Calibri"/>
          <w:b/>
          <w:color w:val="FF0000"/>
        </w:rPr>
        <w:t>se stávajícím objektem, bez vlivu na únikové cesty</w:t>
      </w:r>
      <w:r w:rsidR="00D567B1">
        <w:rPr>
          <w:rFonts w:ascii="ISOCPEUR" w:hAnsi="ISOCPEUR" w:cs="Calibri"/>
          <w:b/>
          <w:color w:val="FF0000"/>
        </w:rPr>
        <w:t xml:space="preserve">, bez změny účelu navrhované stavby, beze změn na počet osob, kterým jsou nové prostory určeny </w:t>
      </w:r>
      <w:r w:rsidR="00D567B1" w:rsidRPr="00D567B1">
        <w:rPr>
          <w:rFonts w:ascii="ISOCPEUR" w:hAnsi="ISOCPEUR" w:cs="Calibri"/>
          <w:b/>
          <w:color w:val="FF0000"/>
        </w:rPr>
        <w:sym w:font="Wingdings" w:char="F0E0"/>
      </w:r>
      <w:r w:rsidR="00D567B1">
        <w:rPr>
          <w:rFonts w:ascii="ISOCPEUR" w:hAnsi="ISOCPEUR" w:cs="Calibri"/>
          <w:b/>
          <w:color w:val="FF0000"/>
        </w:rPr>
        <w:t xml:space="preserve"> </w:t>
      </w:r>
      <w:r w:rsidR="00D567B1" w:rsidRPr="000A43D1">
        <w:rPr>
          <w:rFonts w:ascii="ISOCPEUR" w:hAnsi="ISOCPEUR" w:cs="Calibri"/>
          <w:b/>
          <w:color w:val="FF0000"/>
          <w:u w:val="single"/>
        </w:rPr>
        <w:t>beze změny původn</w:t>
      </w:r>
      <w:r w:rsidR="001C16C1" w:rsidRPr="000A43D1">
        <w:rPr>
          <w:rFonts w:ascii="ISOCPEUR" w:hAnsi="ISOCPEUR" w:cs="Calibri"/>
          <w:b/>
          <w:color w:val="FF0000"/>
          <w:u w:val="single"/>
        </w:rPr>
        <w:t>ě navrhovaného členění stavby do požárních úseků</w:t>
      </w:r>
      <w:r w:rsidR="001C16C1">
        <w:rPr>
          <w:rFonts w:ascii="ISOCPEUR" w:hAnsi="ISOCPEUR" w:cs="Calibri"/>
          <w:b/>
          <w:color w:val="FF0000"/>
        </w:rPr>
        <w:t xml:space="preserve"> </w:t>
      </w:r>
      <w:r w:rsidR="009A09DD" w:rsidRPr="009A09DD">
        <w:rPr>
          <w:rFonts w:ascii="ISOCPEUR" w:hAnsi="ISOCPEUR" w:cs="Calibri"/>
          <w:b/>
          <w:color w:val="FF0000"/>
        </w:rPr>
        <w:sym w:font="Wingdings" w:char="F0E8"/>
      </w:r>
      <w:r w:rsidR="009A09DD">
        <w:rPr>
          <w:rFonts w:ascii="ISOCPEUR" w:hAnsi="ISOCPEUR" w:cs="Calibri"/>
          <w:b/>
          <w:color w:val="FF0000"/>
        </w:rPr>
        <w:t xml:space="preserve"> </w:t>
      </w:r>
      <w:r w:rsidR="009A09DD" w:rsidRPr="000A43D1">
        <w:rPr>
          <w:rFonts w:ascii="ISOCPEUR" w:hAnsi="ISOCPEUR" w:cs="Calibri"/>
          <w:b/>
          <w:color w:val="FF0000"/>
          <w:u w:val="double"/>
        </w:rPr>
        <w:t xml:space="preserve">bez nových požadavků na požární odolnost </w:t>
      </w:r>
      <w:r w:rsidR="000A43D1" w:rsidRPr="000A43D1">
        <w:rPr>
          <w:rFonts w:ascii="ISOCPEUR" w:hAnsi="ISOCPEUR" w:cs="Calibri"/>
          <w:b/>
          <w:color w:val="FF0000"/>
          <w:u w:val="double"/>
        </w:rPr>
        <w:t xml:space="preserve">konstrukcí (dle PBŘ z 1/2019) </w:t>
      </w:r>
      <w:r w:rsidR="00D567B1" w:rsidRPr="000A43D1">
        <w:rPr>
          <w:rFonts w:ascii="ISOCPEUR" w:hAnsi="ISOCPEUR" w:cs="Calibri"/>
          <w:b/>
          <w:color w:val="FF0000"/>
          <w:u w:val="double"/>
        </w:rPr>
        <w:t>– viz dále v textu</w:t>
      </w:r>
      <w:r w:rsidR="00D567B1">
        <w:rPr>
          <w:rFonts w:ascii="ISOCPEUR" w:hAnsi="ISOCPEUR" w:cs="Calibri"/>
          <w:b/>
          <w:color w:val="FF0000"/>
        </w:rPr>
        <w:t xml:space="preserve">. </w:t>
      </w:r>
    </w:p>
    <w:p w14:paraId="70B48518" w14:textId="77777777" w:rsidR="0096681C" w:rsidRPr="001C7E34" w:rsidRDefault="0096681C" w:rsidP="0096681C">
      <w:pPr>
        <w:tabs>
          <w:tab w:val="left" w:pos="6663"/>
        </w:tabs>
        <w:spacing w:before="120" w:after="120" w:line="276" w:lineRule="auto"/>
        <w:jc w:val="both"/>
        <w:rPr>
          <w:rFonts w:ascii="Garamond" w:hAnsi="Garamond" w:cs="Calibri"/>
          <w:b/>
          <w:bCs/>
          <w:color w:val="FF0000"/>
        </w:rPr>
      </w:pPr>
      <w:r w:rsidRPr="001C7E34">
        <w:rPr>
          <w:rFonts w:ascii="Garamond" w:hAnsi="Garamond" w:cs="Calibri"/>
          <w:b/>
          <w:bCs/>
          <w:color w:val="FF0000"/>
        </w:rPr>
        <w:t>Kategorizace staveb z hlediska požární bezpečnosti a výkon státního požárního dozoru</w:t>
      </w:r>
    </w:p>
    <w:p w14:paraId="5862EA98" w14:textId="77777777" w:rsidR="0096681C" w:rsidRPr="001C7E34" w:rsidRDefault="0096681C" w:rsidP="0096681C">
      <w:pPr>
        <w:rPr>
          <w:rFonts w:ascii="Garamond" w:hAnsi="Garamond"/>
        </w:rPr>
      </w:pPr>
      <w:r w:rsidRPr="001C7E34">
        <w:rPr>
          <w:rFonts w:ascii="Garamond" w:hAnsi="Garamond"/>
        </w:rPr>
        <w:t xml:space="preserve">[dle zák. č. 133/1985 Sb. o požární ochraně a </w:t>
      </w:r>
      <w:proofErr w:type="spellStart"/>
      <w:r w:rsidRPr="001C7E34">
        <w:rPr>
          <w:rFonts w:ascii="Garamond" w:hAnsi="Garamond"/>
        </w:rPr>
        <w:t>vyhl</w:t>
      </w:r>
      <w:proofErr w:type="spellEnd"/>
      <w:r w:rsidRPr="001C7E34">
        <w:rPr>
          <w:rFonts w:ascii="Garamond" w:hAnsi="Garamond"/>
        </w:rPr>
        <w:t>. č. 460/2021 Sb., o kategorizaci staveb z hlediska požární bezpečnosti a ochrany obyvatelstva]</w:t>
      </w:r>
    </w:p>
    <w:p w14:paraId="65CEB33E" w14:textId="77777777" w:rsidR="0096681C" w:rsidRPr="001C7E34" w:rsidRDefault="0096681C" w:rsidP="0096681C">
      <w:pPr>
        <w:rPr>
          <w:rFonts w:ascii="Garamond" w:hAnsi="Garamond"/>
        </w:rPr>
      </w:pPr>
      <w:r w:rsidRPr="001C7E34">
        <w:rPr>
          <w:rFonts w:ascii="Garamond" w:hAnsi="Garamond"/>
        </w:rPr>
        <w:t xml:space="preserve">[dle §5 </w:t>
      </w:r>
      <w:proofErr w:type="spellStart"/>
      <w:r w:rsidRPr="001C7E34">
        <w:rPr>
          <w:rFonts w:ascii="Garamond" w:hAnsi="Garamond"/>
        </w:rPr>
        <w:t>vyhl</w:t>
      </w:r>
      <w:proofErr w:type="spellEnd"/>
      <w:r w:rsidRPr="001C7E34">
        <w:rPr>
          <w:rFonts w:ascii="Garamond" w:hAnsi="Garamond"/>
        </w:rPr>
        <w:t>. č. 460/2021 Sb.]</w:t>
      </w:r>
    </w:p>
    <w:tbl>
      <w:tblPr>
        <w:tblStyle w:val="TableGrid"/>
        <w:tblW w:w="9151" w:type="dxa"/>
        <w:tblInd w:w="0" w:type="dxa"/>
        <w:tblLayout w:type="fixed"/>
        <w:tblCellMar>
          <w:top w:w="140" w:type="dxa"/>
          <w:left w:w="79" w:type="dxa"/>
          <w:right w:w="23" w:type="dxa"/>
        </w:tblCellMar>
        <w:tblLook w:val="04A0" w:firstRow="1" w:lastRow="0" w:firstColumn="1" w:lastColumn="0" w:noHBand="0" w:noVBand="1"/>
      </w:tblPr>
      <w:tblGrid>
        <w:gridCol w:w="2830"/>
        <w:gridCol w:w="1644"/>
        <w:gridCol w:w="2409"/>
        <w:gridCol w:w="2268"/>
      </w:tblGrid>
      <w:tr w:rsidR="0096681C" w:rsidRPr="001C7E34" w14:paraId="05CA4614" w14:textId="77777777" w:rsidTr="00374DD7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45BF2C30" w14:textId="77777777" w:rsidR="0096681C" w:rsidRPr="001C7E34" w:rsidRDefault="0096681C" w:rsidP="00B26646">
            <w:pPr>
              <w:tabs>
                <w:tab w:val="left" w:pos="6663"/>
              </w:tabs>
              <w:spacing w:before="120" w:after="120" w:line="276" w:lineRule="auto"/>
              <w:jc w:val="both"/>
              <w:rPr>
                <w:rFonts w:ascii="Garamond" w:hAnsi="Garamond" w:cs="Calibri"/>
                <w:b/>
                <w:bCs/>
                <w:color w:val="FF0000"/>
              </w:rPr>
            </w:pPr>
            <w:r w:rsidRPr="001C7E34">
              <w:rPr>
                <w:rFonts w:ascii="Garamond" w:hAnsi="Garamond" w:cs="Calibri"/>
                <w:b/>
                <w:bCs/>
                <w:color w:val="FF0000"/>
              </w:rPr>
              <w:t xml:space="preserve">Určení třídy využití  </w:t>
            </w:r>
          </w:p>
          <w:p w14:paraId="520EFF09" w14:textId="77777777" w:rsidR="0096681C" w:rsidRPr="001C7E34" w:rsidRDefault="0096681C" w:rsidP="00B26646">
            <w:pPr>
              <w:spacing w:line="259" w:lineRule="auto"/>
              <w:ind w:left="1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Prostory určené pro spánek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245ACEB1" w14:textId="77777777" w:rsidR="0096681C" w:rsidRPr="001C7E34" w:rsidRDefault="0096681C" w:rsidP="00B26646">
            <w:pPr>
              <w:spacing w:line="259" w:lineRule="auto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Prostory pro veřejnost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4AB82EA6" w14:textId="77777777" w:rsidR="0096681C" w:rsidRPr="001C7E34" w:rsidRDefault="0096681C" w:rsidP="00B26646">
            <w:pPr>
              <w:spacing w:line="259" w:lineRule="auto"/>
              <w:ind w:left="1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Osoby vyžadující asistenci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16E261AF" w14:textId="77777777" w:rsidR="0096681C" w:rsidRPr="001C7E34" w:rsidRDefault="0096681C" w:rsidP="00B26646">
            <w:pPr>
              <w:spacing w:line="259" w:lineRule="auto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>Třída využití</w:t>
            </w:r>
          </w:p>
        </w:tc>
      </w:tr>
      <w:tr w:rsidR="0096681C" w:rsidRPr="001C7E34" w14:paraId="57A22E1F" w14:textId="77777777" w:rsidTr="00374DD7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1607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CDD30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E61AF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68250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1 </w:t>
            </w:r>
          </w:p>
        </w:tc>
      </w:tr>
      <w:tr w:rsidR="0096681C" w:rsidRPr="001C7E34" w14:paraId="729B2C72" w14:textId="77777777" w:rsidTr="00374DD7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3D04D28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92CAE9A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Ano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2333730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1D92632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2 </w:t>
            </w:r>
          </w:p>
        </w:tc>
      </w:tr>
      <w:tr w:rsidR="0096681C" w:rsidRPr="001C7E34" w14:paraId="4EEF59E2" w14:textId="77777777" w:rsidTr="00374DD7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04FAEA" w14:textId="77777777" w:rsidR="0096681C" w:rsidRPr="001C7E34" w:rsidRDefault="0096681C" w:rsidP="00B26646">
            <w:pPr>
              <w:spacing w:line="259" w:lineRule="auto"/>
              <w:ind w:right="56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Ano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1AB341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BB30F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F11640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3 </w:t>
            </w:r>
          </w:p>
        </w:tc>
      </w:tr>
      <w:tr w:rsidR="0096681C" w:rsidRPr="001C7E34" w14:paraId="1630D1DB" w14:textId="77777777" w:rsidTr="00374DD7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1BA0" w14:textId="77777777" w:rsidR="0096681C" w:rsidRPr="001C7E34" w:rsidRDefault="0096681C" w:rsidP="00B26646">
            <w:pPr>
              <w:spacing w:line="259" w:lineRule="auto"/>
              <w:ind w:right="56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Ano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B1E1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Ano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CB5AA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2C0E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4 </w:t>
            </w:r>
          </w:p>
        </w:tc>
      </w:tr>
      <w:tr w:rsidR="0096681C" w:rsidRPr="001C7E34" w14:paraId="2F37CAB8" w14:textId="77777777" w:rsidTr="00374DD7">
        <w:trPr>
          <w:trHeight w:val="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7DF2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-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FA061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-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87F8F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 xml:space="preserve">Ano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24E03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5 </w:t>
            </w:r>
          </w:p>
        </w:tc>
      </w:tr>
    </w:tbl>
    <w:p w14:paraId="0A68B19D" w14:textId="77777777" w:rsidR="0096681C" w:rsidRPr="001C7E34" w:rsidRDefault="0096681C" w:rsidP="0096681C">
      <w:pPr>
        <w:spacing w:after="157" w:line="259" w:lineRule="auto"/>
        <w:rPr>
          <w:rFonts w:ascii="Garamond" w:hAnsi="Garamond" w:cs="Calibri"/>
          <w:b/>
          <w:bCs/>
          <w:color w:val="FF0000"/>
        </w:rPr>
      </w:pPr>
      <w:r w:rsidRPr="001C7E34">
        <w:rPr>
          <w:rFonts w:ascii="Garamond" w:hAnsi="Garamond"/>
        </w:rPr>
        <w:t xml:space="preserve"> </w:t>
      </w:r>
      <w:r w:rsidRPr="001C7E34">
        <w:rPr>
          <w:rFonts w:ascii="Garamond" w:hAnsi="Garamond" w:cs="Calibri"/>
          <w:b/>
          <w:bCs/>
          <w:color w:val="FF0000"/>
        </w:rPr>
        <w:t xml:space="preserve">Určení kategorie stavby  </w:t>
      </w:r>
    </w:p>
    <w:p w14:paraId="6D72936C" w14:textId="77777777" w:rsidR="0096681C" w:rsidRPr="001C7E34" w:rsidRDefault="0096681C" w:rsidP="0096681C">
      <w:pPr>
        <w:rPr>
          <w:rFonts w:ascii="Garamond" w:hAnsi="Garamond"/>
        </w:rPr>
      </w:pPr>
      <w:r w:rsidRPr="001C7E34">
        <w:rPr>
          <w:rFonts w:ascii="Garamond" w:hAnsi="Garamond"/>
        </w:rPr>
        <w:t xml:space="preserve">[dle </w:t>
      </w:r>
      <w:proofErr w:type="spellStart"/>
      <w:r w:rsidRPr="001C7E34">
        <w:rPr>
          <w:rFonts w:ascii="Garamond" w:hAnsi="Garamond"/>
        </w:rPr>
        <w:t>vyhl</w:t>
      </w:r>
      <w:proofErr w:type="spellEnd"/>
      <w:r w:rsidRPr="001C7E34">
        <w:rPr>
          <w:rFonts w:ascii="Garamond" w:hAnsi="Garamond"/>
        </w:rPr>
        <w:t>. č. 460/2021 Sb.]</w:t>
      </w:r>
    </w:p>
    <w:tbl>
      <w:tblPr>
        <w:tblStyle w:val="TableGrid"/>
        <w:tblW w:w="4987" w:type="pct"/>
        <w:tblInd w:w="0" w:type="dxa"/>
        <w:tblCellMar>
          <w:top w:w="140" w:type="dxa"/>
          <w:left w:w="79" w:type="dxa"/>
          <w:right w:w="23" w:type="dxa"/>
        </w:tblCellMar>
        <w:tblLook w:val="04A0" w:firstRow="1" w:lastRow="0" w:firstColumn="1" w:lastColumn="0" w:noHBand="0" w:noVBand="1"/>
      </w:tblPr>
      <w:tblGrid>
        <w:gridCol w:w="7448"/>
        <w:gridCol w:w="1702"/>
      </w:tblGrid>
      <w:tr w:rsidR="0096681C" w:rsidRPr="001C7E34" w14:paraId="54A9E945" w14:textId="77777777" w:rsidTr="00374DD7">
        <w:trPr>
          <w:trHeight w:val="20"/>
        </w:trPr>
        <w:tc>
          <w:tcPr>
            <w:tcW w:w="4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5F8E89B3" w14:textId="77777777" w:rsidR="0096681C" w:rsidRPr="001C7E34" w:rsidRDefault="0096681C" w:rsidP="00B26646">
            <w:pPr>
              <w:spacing w:line="259" w:lineRule="auto"/>
              <w:ind w:left="1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 xml:space="preserve">Stavebně technické parametry a kritéria stavby 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7A456E6B" w14:textId="77777777" w:rsidR="0096681C" w:rsidRPr="001C7E34" w:rsidRDefault="0096681C" w:rsidP="00B26646">
            <w:pPr>
              <w:spacing w:line="259" w:lineRule="auto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>Kategorie stavby</w:t>
            </w:r>
          </w:p>
        </w:tc>
      </w:tr>
      <w:tr w:rsidR="0096681C" w:rsidRPr="001C7E34" w14:paraId="2DAFE3F8" w14:textId="77777777" w:rsidTr="00374DD7">
        <w:trPr>
          <w:trHeight w:val="20"/>
        </w:trPr>
        <w:tc>
          <w:tcPr>
            <w:tcW w:w="4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6D336" w14:textId="4E1315C3" w:rsidR="0096681C" w:rsidRPr="001C7E34" w:rsidRDefault="0096681C" w:rsidP="00431A6D">
            <w:pPr>
              <w:spacing w:line="259" w:lineRule="auto"/>
              <w:ind w:right="57"/>
              <w:jc w:val="both"/>
              <w:rPr>
                <w:rFonts w:ascii="Garamond" w:hAnsi="Garamond"/>
                <w:color w:val="FF0000"/>
              </w:rPr>
            </w:pPr>
            <w:bookmarkStart w:id="7" w:name="_Toc153866124"/>
            <w:r>
              <w:rPr>
                <w:rFonts w:ascii="Garamond" w:hAnsi="Garamond"/>
              </w:rPr>
              <w:t>V</w:t>
            </w:r>
            <w:r w:rsidRPr="006B56AC">
              <w:rPr>
                <w:rFonts w:ascii="Garamond" w:hAnsi="Garamond"/>
              </w:rPr>
              <w:t>ýška</w:t>
            </w:r>
            <w:r>
              <w:rPr>
                <w:rFonts w:ascii="Garamond" w:hAnsi="Garamond"/>
              </w:rPr>
              <w:t xml:space="preserve"> *</w:t>
            </w:r>
            <w:r w:rsidRPr="006B56A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objektu (</w:t>
            </w:r>
            <w:r w:rsidR="00493288">
              <w:rPr>
                <w:rFonts w:ascii="Garamond" w:hAnsi="Garamond"/>
              </w:rPr>
              <w:t>čtyřpodlažní objekt s </w:t>
            </w:r>
            <w:proofErr w:type="spellStart"/>
            <w:r w:rsidR="00493288">
              <w:rPr>
                <w:rFonts w:ascii="Garamond" w:hAnsi="Garamond"/>
              </w:rPr>
              <w:t>podstřešením</w:t>
            </w:r>
            <w:proofErr w:type="spellEnd"/>
            <w:r w:rsidR="00493288">
              <w:rPr>
                <w:rFonts w:ascii="Garamond" w:hAnsi="Garamond"/>
              </w:rPr>
              <w:t xml:space="preserve"> prostorem bez </w:t>
            </w:r>
            <w:proofErr w:type="gramStart"/>
            <w:r w:rsidR="00493288">
              <w:rPr>
                <w:rFonts w:ascii="Garamond" w:hAnsi="Garamond"/>
              </w:rPr>
              <w:t xml:space="preserve">využití </w:t>
            </w:r>
            <w:r>
              <w:rPr>
                <w:rFonts w:ascii="Garamond" w:hAnsi="Garamond"/>
              </w:rPr>
              <w:t>)</w:t>
            </w:r>
            <w:proofErr w:type="gramEnd"/>
            <w:r>
              <w:rPr>
                <w:rFonts w:ascii="Garamond" w:hAnsi="Garamond"/>
              </w:rPr>
              <w:t xml:space="preserve"> = </w:t>
            </w:r>
            <w:r w:rsidR="009B420B">
              <w:rPr>
                <w:rFonts w:ascii="Garamond" w:hAnsi="Garamond"/>
              </w:rPr>
              <w:t>15,6</w:t>
            </w:r>
            <w:r w:rsidRPr="006B56AC">
              <w:rPr>
                <w:rFonts w:ascii="Garamond" w:hAnsi="Garamond"/>
              </w:rPr>
              <w:t xml:space="preserve"> m;  celková zastavěná plocha</w:t>
            </w:r>
            <w:r>
              <w:rPr>
                <w:rFonts w:ascii="Garamond" w:hAnsi="Garamond"/>
              </w:rPr>
              <w:t xml:space="preserve"> </w:t>
            </w:r>
            <w:r w:rsidR="00C67640">
              <w:rPr>
                <w:rFonts w:ascii="Garamond" w:hAnsi="Garamond"/>
              </w:rPr>
              <w:t xml:space="preserve">~ </w:t>
            </w:r>
            <w:r>
              <w:rPr>
                <w:rFonts w:ascii="Garamond" w:hAnsi="Garamond"/>
              </w:rPr>
              <w:t>2</w:t>
            </w:r>
            <w:r w:rsidR="00C67640">
              <w:rPr>
                <w:rFonts w:ascii="Garamond" w:hAnsi="Garamond"/>
              </w:rPr>
              <w:t>930</w:t>
            </w:r>
            <w:r w:rsidR="009B420B">
              <w:rPr>
                <w:rFonts w:ascii="Garamond" w:hAnsi="Garamond"/>
              </w:rPr>
              <w:t xml:space="preserve"> </w:t>
            </w:r>
            <w:r w:rsidRPr="006B56AC">
              <w:rPr>
                <w:rFonts w:ascii="Garamond" w:hAnsi="Garamond"/>
              </w:rPr>
              <w:t>m</w:t>
            </w:r>
            <w:r w:rsidRPr="006B56AC">
              <w:rPr>
                <w:rFonts w:ascii="Garamond" w:hAnsi="Garamond"/>
                <w:vertAlign w:val="superscript"/>
              </w:rPr>
              <w:t>2</w:t>
            </w:r>
            <w:r w:rsidRPr="006B56AC">
              <w:rPr>
                <w:rFonts w:ascii="Garamond" w:hAnsi="Garamond"/>
              </w:rPr>
              <w:t>; světlá výška &lt; 12m, bez prostorů pro spánek, pouze osoby nevyžadující asistenci, bez výskytu hořlavých kapalin v množství větším jak 250 litrů (z toho I. třída hořlavosti do 50litrů), v</w:t>
            </w:r>
            <w:r w:rsidRPr="006B56AC">
              <w:rPr>
                <w:rFonts w:ascii="Garamond" w:hAnsi="Garamond" w:cs="Arial"/>
                <w:iCs/>
                <w:szCs w:val="28"/>
              </w:rPr>
              <w:t>e stávající s</w:t>
            </w:r>
            <w:r w:rsidR="00431A6D">
              <w:rPr>
                <w:rFonts w:ascii="Garamond" w:hAnsi="Garamond" w:cs="Arial"/>
                <w:iCs/>
                <w:szCs w:val="28"/>
              </w:rPr>
              <w:t>tavbě</w:t>
            </w:r>
            <w:r w:rsidRPr="006B56AC">
              <w:rPr>
                <w:rFonts w:ascii="Garamond" w:hAnsi="Garamond" w:cs="Arial"/>
                <w:iCs/>
                <w:szCs w:val="28"/>
              </w:rPr>
              <w:t xml:space="preserve"> včetně </w:t>
            </w:r>
            <w:r w:rsidRPr="006B56AC">
              <w:rPr>
                <w:rFonts w:ascii="Garamond" w:hAnsi="Garamond" w:cs="Arial"/>
                <w:iCs/>
                <w:szCs w:val="28"/>
              </w:rPr>
              <w:lastRenderedPageBreak/>
              <w:t xml:space="preserve">navrhované přístavby nebudou skladovány </w:t>
            </w:r>
            <w:r w:rsidRPr="006B56AC">
              <w:rPr>
                <w:rFonts w:ascii="Garamond" w:hAnsi="Garamond"/>
              </w:rPr>
              <w:t>zásobník</w:t>
            </w:r>
            <w:r>
              <w:rPr>
                <w:rFonts w:ascii="Garamond" w:hAnsi="Garamond"/>
              </w:rPr>
              <w:t>y</w:t>
            </w:r>
            <w:r w:rsidRPr="006B56AC">
              <w:rPr>
                <w:rFonts w:ascii="Garamond" w:hAnsi="Garamond"/>
              </w:rPr>
              <w:t xml:space="preserve"> (lahví) se stlačenými plyny, bez toxických látek, objekt není kulturní památkou.</w:t>
            </w:r>
            <w:bookmarkEnd w:id="7"/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24C17B9C" w14:textId="479539E3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lastRenderedPageBreak/>
              <w:t>I</w:t>
            </w:r>
            <w:r w:rsidR="003F2796">
              <w:rPr>
                <w:rFonts w:ascii="Garamond" w:hAnsi="Garamond"/>
                <w:b/>
              </w:rPr>
              <w:t>I</w:t>
            </w:r>
            <w:r w:rsidR="00836407">
              <w:rPr>
                <w:rFonts w:ascii="Garamond" w:hAnsi="Garamond"/>
                <w:b/>
              </w:rPr>
              <w:t>.</w:t>
            </w:r>
          </w:p>
        </w:tc>
      </w:tr>
    </w:tbl>
    <w:p w14:paraId="4FC961D5" w14:textId="77777777" w:rsidR="0096681C" w:rsidRDefault="0096681C" w:rsidP="0096681C">
      <w:pPr>
        <w:ind w:left="142" w:hanging="142"/>
        <w:jc w:val="both"/>
        <w:rPr>
          <w:rFonts w:ascii="Garamond" w:hAnsi="Garamond" w:cs="Calibri"/>
          <w:i/>
          <w:sz w:val="16"/>
          <w:szCs w:val="16"/>
        </w:rPr>
      </w:pPr>
      <w:r w:rsidRPr="00EF6B9A">
        <w:rPr>
          <w:rFonts w:ascii="Garamond" w:hAnsi="Garamond" w:cs="Calibri"/>
          <w:iCs/>
          <w:sz w:val="16"/>
          <w:szCs w:val="16"/>
        </w:rPr>
        <w:t>*</w:t>
      </w:r>
      <w:r>
        <w:rPr>
          <w:rFonts w:ascii="Garamond" w:hAnsi="Garamond" w:cs="Calibri"/>
          <w:iCs/>
          <w:sz w:val="16"/>
          <w:szCs w:val="16"/>
        </w:rPr>
        <w:t>)</w:t>
      </w:r>
      <w:r w:rsidRPr="00CD5B22">
        <w:rPr>
          <w:rFonts w:ascii="Garamond" w:hAnsi="Garamond" w:cs="Calibri"/>
          <w:b/>
          <w:bCs/>
          <w:i/>
          <w:sz w:val="16"/>
          <w:szCs w:val="16"/>
        </w:rPr>
        <w:t xml:space="preserve">  </w:t>
      </w:r>
      <w:r w:rsidRPr="00210D26">
        <w:rPr>
          <w:rFonts w:ascii="Garamond" w:hAnsi="Garamond" w:cs="Calibri"/>
          <w:iCs/>
          <w:sz w:val="16"/>
          <w:szCs w:val="16"/>
        </w:rPr>
        <w:t xml:space="preserve"> </w:t>
      </w:r>
      <w:r>
        <w:rPr>
          <w:rFonts w:ascii="Garamond" w:hAnsi="Garamond" w:cs="Calibri"/>
          <w:iCs/>
          <w:sz w:val="16"/>
          <w:szCs w:val="16"/>
        </w:rPr>
        <w:t xml:space="preserve">Dle </w:t>
      </w:r>
      <w:proofErr w:type="spellStart"/>
      <w:r w:rsidRPr="00210D26">
        <w:rPr>
          <w:rFonts w:ascii="Garamond" w:hAnsi="Garamond" w:cs="Calibri"/>
          <w:iCs/>
          <w:sz w:val="16"/>
          <w:szCs w:val="16"/>
        </w:rPr>
        <w:t>vyhl</w:t>
      </w:r>
      <w:proofErr w:type="spellEnd"/>
      <w:r w:rsidRPr="00210D26">
        <w:rPr>
          <w:rFonts w:ascii="Garamond" w:hAnsi="Garamond" w:cs="Calibri"/>
          <w:iCs/>
          <w:sz w:val="16"/>
          <w:szCs w:val="16"/>
        </w:rPr>
        <w:t>. 460/2021 Sb</w:t>
      </w:r>
      <w:r>
        <w:rPr>
          <w:rFonts w:ascii="Garamond" w:hAnsi="Garamond" w:cs="Calibri"/>
          <w:iCs/>
          <w:sz w:val="16"/>
          <w:szCs w:val="16"/>
        </w:rPr>
        <w:t>.</w:t>
      </w:r>
      <w:r w:rsidRPr="00210D26">
        <w:rPr>
          <w:rFonts w:ascii="Garamond" w:hAnsi="Garamond" w:cs="Calibri"/>
          <w:iCs/>
          <w:sz w:val="16"/>
          <w:szCs w:val="16"/>
        </w:rPr>
        <w:t xml:space="preserve"> - § 2 písm. </w:t>
      </w:r>
      <w:r>
        <w:rPr>
          <w:rFonts w:ascii="Garamond" w:hAnsi="Garamond" w:cs="Calibri"/>
          <w:iCs/>
          <w:sz w:val="16"/>
          <w:szCs w:val="16"/>
        </w:rPr>
        <w:t>c</w:t>
      </w:r>
      <w:proofErr w:type="gramStart"/>
      <w:r w:rsidRPr="00210D26">
        <w:rPr>
          <w:rFonts w:ascii="Garamond" w:hAnsi="Garamond" w:cs="Calibri"/>
          <w:iCs/>
          <w:sz w:val="16"/>
          <w:szCs w:val="16"/>
        </w:rPr>
        <w:t>)</w:t>
      </w:r>
      <w:r>
        <w:rPr>
          <w:rFonts w:ascii="Garamond" w:hAnsi="Garamond" w:cs="Calibri"/>
          <w:i/>
          <w:sz w:val="16"/>
          <w:szCs w:val="16"/>
        </w:rPr>
        <w:t xml:space="preserve"> </w:t>
      </w:r>
      <w:r w:rsidRPr="00CD5B22">
        <w:rPr>
          <w:rFonts w:ascii="Garamond" w:hAnsi="Garamond" w:cs="Calibri"/>
          <w:i/>
          <w:sz w:val="16"/>
          <w:szCs w:val="16"/>
        </w:rPr>
        <w:t xml:space="preserve"> </w:t>
      </w:r>
      <w:r>
        <w:rPr>
          <w:rFonts w:ascii="Garamond" w:hAnsi="Garamond" w:cs="Calibri"/>
          <w:i/>
          <w:sz w:val="16"/>
          <w:szCs w:val="16"/>
        </w:rPr>
        <w:t>je</w:t>
      </w:r>
      <w:proofErr w:type="gramEnd"/>
      <w:r>
        <w:rPr>
          <w:rFonts w:ascii="Garamond" w:hAnsi="Garamond" w:cs="Calibri"/>
          <w:i/>
          <w:sz w:val="16"/>
          <w:szCs w:val="16"/>
        </w:rPr>
        <w:t xml:space="preserve"> </w:t>
      </w:r>
      <w:r w:rsidRPr="001C0AE8">
        <w:rPr>
          <w:rFonts w:ascii="Garamond" w:hAnsi="Garamond" w:cs="Calibri"/>
          <w:i/>
          <w:sz w:val="16"/>
          <w:szCs w:val="16"/>
        </w:rPr>
        <w:t>výškou stavby u budovy svislá vzdálenost od povrchu podlahy prvního nejníže položeného nadzemního podlaží k povrchu podlahy posledního nejvýše situovaného nadzemního podlaží,</w:t>
      </w:r>
      <w:r>
        <w:rPr>
          <w:rFonts w:ascii="Garamond" w:hAnsi="Garamond" w:cs="Calibri"/>
          <w:i/>
          <w:sz w:val="16"/>
          <w:szCs w:val="16"/>
        </w:rPr>
        <w:t>.</w:t>
      </w:r>
      <w:r w:rsidRPr="002F4010">
        <w:t xml:space="preserve"> </w:t>
      </w:r>
      <w:r w:rsidRPr="002F4010">
        <w:rPr>
          <w:rFonts w:ascii="Garamond" w:hAnsi="Garamond" w:cs="Calibri"/>
          <w:i/>
          <w:sz w:val="16"/>
          <w:szCs w:val="16"/>
        </w:rPr>
        <w:t xml:space="preserve">U stavby s více nadzemními podlažími se při stanovení výšky stavby a počtu podlaží nepřihlíží k poslednímu nadzemnímu technologickému podlaží nebo půdnímu prostoru, pokud nejsou určeny pro pobyt osob, nenachází se zde pracovní prostor, na němž je pracovník pravidelně přítomen více než 2 hodiny za směnu, nebo </w:t>
      </w:r>
      <w:proofErr w:type="gramStart"/>
      <w:r w:rsidRPr="002F4010">
        <w:rPr>
          <w:rFonts w:ascii="Garamond" w:hAnsi="Garamond" w:cs="Calibri"/>
          <w:i/>
          <w:sz w:val="16"/>
          <w:szCs w:val="16"/>
        </w:rPr>
        <w:t>neslouží</w:t>
      </w:r>
      <w:proofErr w:type="gramEnd"/>
      <w:r w:rsidRPr="002F4010">
        <w:rPr>
          <w:rFonts w:ascii="Garamond" w:hAnsi="Garamond" w:cs="Calibri"/>
          <w:i/>
          <w:sz w:val="16"/>
          <w:szCs w:val="16"/>
        </w:rPr>
        <w:t xml:space="preserve"> ke skladování nebo ukládání hořlavých látek. U stavby o jednom nadzemním podlaží nebo stavby, která má pouze podzemní podlaží, platí, že má výšku rovnu nule.</w:t>
      </w:r>
    </w:p>
    <w:p w14:paraId="7BBAFFD1" w14:textId="77777777" w:rsidR="0096681C" w:rsidRPr="00210D26" w:rsidRDefault="0096681C" w:rsidP="0096681C">
      <w:pPr>
        <w:jc w:val="both"/>
        <w:rPr>
          <w:rFonts w:ascii="Garamond" w:hAnsi="Garamond" w:cs="Calibri"/>
          <w:i/>
          <w:sz w:val="16"/>
          <w:szCs w:val="16"/>
        </w:rPr>
      </w:pPr>
      <w:r w:rsidRPr="00210D26">
        <w:rPr>
          <w:rFonts w:ascii="Garamond" w:hAnsi="Garamond" w:cs="Calibri"/>
          <w:iCs/>
          <w:sz w:val="16"/>
          <w:szCs w:val="16"/>
        </w:rPr>
        <w:t xml:space="preserve">**) </w:t>
      </w:r>
      <w:r>
        <w:rPr>
          <w:rFonts w:ascii="Garamond" w:hAnsi="Garamond" w:cs="Calibri"/>
          <w:iCs/>
          <w:sz w:val="16"/>
          <w:szCs w:val="16"/>
        </w:rPr>
        <w:t xml:space="preserve">Dle </w:t>
      </w:r>
      <w:proofErr w:type="spellStart"/>
      <w:r w:rsidRPr="00210D26">
        <w:rPr>
          <w:rFonts w:ascii="Garamond" w:hAnsi="Garamond" w:cs="Calibri"/>
          <w:iCs/>
          <w:sz w:val="16"/>
          <w:szCs w:val="16"/>
        </w:rPr>
        <w:t>vyhl</w:t>
      </w:r>
      <w:proofErr w:type="spellEnd"/>
      <w:r w:rsidRPr="00210D26">
        <w:rPr>
          <w:rFonts w:ascii="Garamond" w:hAnsi="Garamond" w:cs="Calibri"/>
          <w:iCs/>
          <w:sz w:val="16"/>
          <w:szCs w:val="16"/>
        </w:rPr>
        <w:t>. 460/2021 Sb</w:t>
      </w:r>
      <w:r>
        <w:rPr>
          <w:rFonts w:ascii="Garamond" w:hAnsi="Garamond" w:cs="Calibri"/>
          <w:iCs/>
          <w:sz w:val="16"/>
          <w:szCs w:val="16"/>
        </w:rPr>
        <w:t>.</w:t>
      </w:r>
      <w:r w:rsidRPr="00210D26">
        <w:rPr>
          <w:rFonts w:ascii="Garamond" w:hAnsi="Garamond" w:cs="Calibri"/>
          <w:iCs/>
          <w:sz w:val="16"/>
          <w:szCs w:val="16"/>
        </w:rPr>
        <w:t xml:space="preserve"> - § 2 písm. h) </w:t>
      </w:r>
      <w:r w:rsidRPr="00210D26">
        <w:rPr>
          <w:rFonts w:ascii="Garamond" w:hAnsi="Garamond" w:cs="Calibri"/>
          <w:i/>
          <w:sz w:val="16"/>
          <w:szCs w:val="16"/>
        </w:rPr>
        <w:t xml:space="preserve"> prostorem určeným pro osoby, jejichž evakuace při požáru je podmíněna asistencí dalších osob, prostor ve stavbě určený k užívání osobami s těžkou vadou nosného nebo pohybového ústrojí, těžkým sluchovým nebo zrakovým postižením, těžkou nebo hlubokou mentální retardací, osobami v detenci, osobami ve výkonu vazby, osobami ve výkonu trestu odnětí svobody, nebo osobami, které mají významně sníženou pohyblivost nebo orientaci v souvislosti s poskytováním zdravotní péče, nebo dětmi do šesti let věku.</w:t>
      </w:r>
    </w:p>
    <w:p w14:paraId="4FF4F427" w14:textId="77777777" w:rsidR="0096681C" w:rsidRPr="001C7E34" w:rsidRDefault="0096681C" w:rsidP="0096681C">
      <w:pPr>
        <w:tabs>
          <w:tab w:val="left" w:pos="6663"/>
        </w:tabs>
        <w:spacing w:before="120" w:after="120" w:line="276" w:lineRule="auto"/>
        <w:jc w:val="both"/>
        <w:rPr>
          <w:rFonts w:ascii="Garamond" w:hAnsi="Garamond" w:cs="Calibri"/>
          <w:b/>
          <w:bCs/>
          <w:color w:val="FF0000"/>
        </w:rPr>
      </w:pPr>
      <w:r w:rsidRPr="001C7E34">
        <w:rPr>
          <w:rFonts w:ascii="Garamond" w:hAnsi="Garamond" w:cs="Calibri"/>
          <w:b/>
          <w:bCs/>
          <w:color w:val="FF0000"/>
        </w:rPr>
        <w:t>Vyhodnocení</w:t>
      </w:r>
    </w:p>
    <w:tbl>
      <w:tblPr>
        <w:tblStyle w:val="TableGrid"/>
        <w:tblW w:w="4987" w:type="pct"/>
        <w:tblInd w:w="0" w:type="dxa"/>
        <w:tblCellMar>
          <w:top w:w="140" w:type="dxa"/>
          <w:left w:w="79" w:type="dxa"/>
          <w:right w:w="23" w:type="dxa"/>
        </w:tblCellMar>
        <w:tblLook w:val="04A0" w:firstRow="1" w:lastRow="0" w:firstColumn="1" w:lastColumn="0" w:noHBand="0" w:noVBand="1"/>
      </w:tblPr>
      <w:tblGrid>
        <w:gridCol w:w="3057"/>
        <w:gridCol w:w="3059"/>
        <w:gridCol w:w="3034"/>
      </w:tblGrid>
      <w:tr w:rsidR="0096681C" w:rsidRPr="001C7E34" w14:paraId="72FE7D3F" w14:textId="77777777" w:rsidTr="00374DD7">
        <w:trPr>
          <w:trHeight w:val="20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0347667F" w14:textId="77777777" w:rsidR="0096681C" w:rsidRPr="001C7E34" w:rsidRDefault="0096681C" w:rsidP="00B26646">
            <w:pPr>
              <w:spacing w:line="259" w:lineRule="auto"/>
              <w:ind w:left="1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>Kategorie stavby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6533BFF2" w14:textId="77777777" w:rsidR="0096681C" w:rsidRPr="001C7E34" w:rsidRDefault="0096681C" w:rsidP="00B26646">
            <w:pPr>
              <w:spacing w:line="259" w:lineRule="auto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>PBŘ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2E2"/>
          </w:tcPr>
          <w:p w14:paraId="0D578E65" w14:textId="77777777" w:rsidR="0096681C" w:rsidRPr="001C7E34" w:rsidRDefault="0096681C" w:rsidP="00B26646">
            <w:pPr>
              <w:spacing w:line="259" w:lineRule="auto"/>
              <w:ind w:left="1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  <w:b/>
              </w:rPr>
              <w:t>Výkon státního požárního dozoru</w:t>
            </w:r>
          </w:p>
        </w:tc>
      </w:tr>
      <w:tr w:rsidR="0096681C" w:rsidRPr="001C7E34" w14:paraId="463C8EB7" w14:textId="77777777" w:rsidTr="00374DD7">
        <w:trPr>
          <w:trHeight w:val="20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7E1CF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>Stavba kategorie 0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E88DC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 xml:space="preserve">Ne 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51E69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 xml:space="preserve">Ne </w:t>
            </w:r>
          </w:p>
        </w:tc>
      </w:tr>
      <w:tr w:rsidR="0096681C" w:rsidRPr="001C7E34" w14:paraId="67768DE2" w14:textId="77777777" w:rsidTr="00374DD7">
        <w:trPr>
          <w:trHeight w:val="20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BE3F7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>Stavba kategorie I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53A45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 xml:space="preserve">Ano 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9441B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 xml:space="preserve">Ne </w:t>
            </w:r>
          </w:p>
        </w:tc>
      </w:tr>
      <w:tr w:rsidR="0096681C" w:rsidRPr="001C7E34" w14:paraId="5715744A" w14:textId="77777777" w:rsidTr="00374DD7">
        <w:trPr>
          <w:trHeight w:val="20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A2DFB48" w14:textId="77777777" w:rsidR="0096681C" w:rsidRPr="001C7E34" w:rsidRDefault="0096681C" w:rsidP="00B26646">
            <w:pPr>
              <w:spacing w:line="259" w:lineRule="auto"/>
              <w:ind w:right="56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>Stavba kategorie II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10DCD60" w14:textId="77777777" w:rsidR="0096681C" w:rsidRPr="001C7E34" w:rsidRDefault="0096681C" w:rsidP="00B26646">
            <w:pPr>
              <w:spacing w:line="259" w:lineRule="auto"/>
              <w:ind w:right="59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 xml:space="preserve">Ano 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98CBC01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>Ano</w:t>
            </w:r>
          </w:p>
        </w:tc>
      </w:tr>
      <w:tr w:rsidR="0096681C" w:rsidRPr="001C7E34" w14:paraId="25028791" w14:textId="77777777" w:rsidTr="00374DD7">
        <w:trPr>
          <w:trHeight w:val="20"/>
        </w:trPr>
        <w:tc>
          <w:tcPr>
            <w:tcW w:w="1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135F" w14:textId="77777777" w:rsidR="0096681C" w:rsidRPr="001C7E34" w:rsidRDefault="0096681C" w:rsidP="00B26646">
            <w:pPr>
              <w:spacing w:line="259" w:lineRule="auto"/>
              <w:ind w:right="56"/>
              <w:jc w:val="center"/>
              <w:rPr>
                <w:rFonts w:ascii="Garamond" w:hAnsi="Garamond"/>
              </w:rPr>
            </w:pPr>
            <w:r w:rsidRPr="001C7E34">
              <w:rPr>
                <w:rFonts w:ascii="Garamond" w:hAnsi="Garamond"/>
              </w:rPr>
              <w:t>Stavba kategorie III</w:t>
            </w:r>
          </w:p>
        </w:tc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1135" w14:textId="77777777" w:rsidR="0096681C" w:rsidRPr="001C7E34" w:rsidRDefault="0096681C" w:rsidP="00B26646">
            <w:pPr>
              <w:spacing w:line="259" w:lineRule="auto"/>
              <w:ind w:right="58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 xml:space="preserve">Ano 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F518" w14:textId="77777777" w:rsidR="0096681C" w:rsidRPr="001C7E34" w:rsidRDefault="0096681C" w:rsidP="00B26646">
            <w:pPr>
              <w:spacing w:line="259" w:lineRule="auto"/>
              <w:ind w:right="57"/>
              <w:jc w:val="center"/>
              <w:rPr>
                <w:rFonts w:ascii="Garamond" w:hAnsi="Garamond"/>
                <w:b/>
              </w:rPr>
            </w:pPr>
            <w:r w:rsidRPr="001C7E34">
              <w:rPr>
                <w:rFonts w:ascii="Garamond" w:hAnsi="Garamond"/>
                <w:b/>
              </w:rPr>
              <w:t>Ano</w:t>
            </w:r>
          </w:p>
        </w:tc>
      </w:tr>
    </w:tbl>
    <w:p w14:paraId="1B9A1DD0" w14:textId="77777777" w:rsidR="00F849C2" w:rsidRPr="00B02224" w:rsidRDefault="00F849C2" w:rsidP="00F849C2">
      <w:pPr>
        <w:pStyle w:val="Text1FH"/>
        <w:spacing w:before="60" w:after="60"/>
        <w:ind w:firstLine="0"/>
        <w:rPr>
          <w:rFonts w:ascii="ISOCPEUR" w:hAnsi="ISOCPEUR"/>
          <w:b/>
        </w:rPr>
      </w:pPr>
      <w:r w:rsidRPr="00B02224">
        <w:rPr>
          <w:rFonts w:ascii="ISOCPEUR" w:hAnsi="ISOCPEUR"/>
          <w:b/>
        </w:rPr>
        <w:t>Toto Požárně bezpečnostní řešení stanoví podmínky požární bezpečnosti</w:t>
      </w:r>
      <w:r w:rsidR="00D7427C" w:rsidRPr="00B02224">
        <w:rPr>
          <w:rFonts w:ascii="ISOCPEUR" w:hAnsi="ISOCPEUR"/>
          <w:b/>
        </w:rPr>
        <w:t xml:space="preserve"> navrhované přístavby</w:t>
      </w:r>
      <w:r w:rsidRPr="00B02224">
        <w:rPr>
          <w:rFonts w:ascii="ISOCPEUR" w:hAnsi="ISOCPEUR"/>
          <w:b/>
        </w:rPr>
        <w:t>. PBŘ spolu s kompletní projektovou dokumentací bude předloženo místně příslušnému oddělení stavební prevence při Hasičském záchranném sboru. Oddělení stavební prevence HZS vydá pro potřeby</w:t>
      </w:r>
      <w:r w:rsidR="006318CD" w:rsidRPr="00B02224">
        <w:rPr>
          <w:rFonts w:ascii="ISOCPEUR" w:hAnsi="ISOCPEUR"/>
          <w:b/>
        </w:rPr>
        <w:t xml:space="preserve"> sloučeného územního a</w:t>
      </w:r>
      <w:r w:rsidRPr="00B02224">
        <w:rPr>
          <w:rFonts w:ascii="ISOCPEUR" w:hAnsi="ISOCPEUR"/>
          <w:b/>
        </w:rPr>
        <w:t xml:space="preserve"> stavebního řízení stanovisko k předložené dokumentaci, toto je nedílnou součástí tohoto PBŘ. Stanovisko HZS a v něm obsažená ustanovení a případné připomínky, jsou závazné a musí být v plném rozsahu akceptovány.  </w:t>
      </w:r>
    </w:p>
    <w:p w14:paraId="1B9A1DD1" w14:textId="77777777" w:rsidR="00DC67D6" w:rsidRPr="00B02224" w:rsidRDefault="00DC67D6" w:rsidP="00DC67D6">
      <w:pPr>
        <w:pStyle w:val="Nadpis1"/>
        <w:rPr>
          <w:rFonts w:ascii="ISOCPEUR" w:hAnsi="ISOCPEUR"/>
        </w:rPr>
      </w:pPr>
      <w:bookmarkStart w:id="8" w:name="_Toc401298345"/>
      <w:bookmarkStart w:id="9" w:name="_Toc412711133"/>
      <w:bookmarkStart w:id="10" w:name="_Toc408169"/>
      <w:r w:rsidRPr="00B02224">
        <w:rPr>
          <w:rFonts w:ascii="ISOCPEUR" w:hAnsi="ISOCPEUR"/>
        </w:rPr>
        <w:t>Seznam použitých podkladů pro zpracování</w:t>
      </w:r>
      <w:bookmarkEnd w:id="8"/>
      <w:bookmarkEnd w:id="9"/>
      <w:bookmarkEnd w:id="10"/>
    </w:p>
    <w:p w14:paraId="1B9A1DD2" w14:textId="77777777" w:rsidR="00DC67D6" w:rsidRPr="00B02224" w:rsidRDefault="00DC67D6" w:rsidP="009A7B66">
      <w:pPr>
        <w:pStyle w:val="Nadpis2"/>
        <w:rPr>
          <w:rFonts w:ascii="ISOCPEUR" w:hAnsi="ISOCPEUR"/>
        </w:rPr>
      </w:pPr>
      <w:bookmarkStart w:id="11" w:name="_Toc403634362"/>
      <w:bookmarkStart w:id="12" w:name="_Toc412711134"/>
      <w:bookmarkStart w:id="13" w:name="_Toc408170"/>
      <w:r w:rsidRPr="00B02224">
        <w:rPr>
          <w:rFonts w:ascii="ISOCPEUR" w:hAnsi="ISOCPEUR"/>
        </w:rPr>
        <w:t>Zadávací dokumentace</w:t>
      </w:r>
      <w:bookmarkEnd w:id="11"/>
      <w:bookmarkEnd w:id="12"/>
      <w:bookmarkEnd w:id="13"/>
    </w:p>
    <w:p w14:paraId="1B9A1DD3" w14:textId="28698D41" w:rsidR="00D24BD5" w:rsidRPr="00B02224" w:rsidRDefault="00DC67D6" w:rsidP="00D24BD5">
      <w:pPr>
        <w:pStyle w:val="Odstavecseseznamem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/>
        <w:rPr>
          <w:rFonts w:ascii="ISOCPEUR" w:hAnsi="ISOCPEUR"/>
        </w:rPr>
      </w:pPr>
      <w:r w:rsidRPr="00B02224">
        <w:rPr>
          <w:rFonts w:ascii="ISOCPEUR" w:hAnsi="ISOCPEUR"/>
          <w:b/>
        </w:rPr>
        <w:t xml:space="preserve">[P1] - </w:t>
      </w:r>
      <w:r w:rsidRPr="00B02224">
        <w:rPr>
          <w:rFonts w:ascii="ISOCPEUR" w:hAnsi="ISOCPEUR"/>
        </w:rPr>
        <w:t>Projektová dokumentace zpracov</w:t>
      </w:r>
      <w:r w:rsidR="00460A4F" w:rsidRPr="00B02224">
        <w:rPr>
          <w:rFonts w:ascii="ISOCPEUR" w:hAnsi="ISOCPEUR"/>
        </w:rPr>
        <w:t xml:space="preserve">aná </w:t>
      </w:r>
      <w:r w:rsidR="00460A4F" w:rsidRPr="00976C11">
        <w:rPr>
          <w:rFonts w:ascii="ISOCPEUR" w:hAnsi="ISOCPEUR"/>
          <w:color w:val="FF0000"/>
        </w:rPr>
        <w:t>1</w:t>
      </w:r>
      <w:r w:rsidRPr="00976C11">
        <w:rPr>
          <w:rFonts w:ascii="ISOCPEUR" w:hAnsi="ISOCPEUR"/>
          <w:color w:val="FF0000"/>
        </w:rPr>
        <w:t>/20</w:t>
      </w:r>
      <w:r w:rsidR="009E320A" w:rsidRPr="00976C11">
        <w:rPr>
          <w:rFonts w:ascii="ISOCPEUR" w:hAnsi="ISOCPEUR"/>
          <w:color w:val="FF0000"/>
        </w:rPr>
        <w:t>24</w:t>
      </w:r>
      <w:r w:rsidRPr="00B02224">
        <w:rPr>
          <w:rFonts w:ascii="ISOCPEUR" w:hAnsi="ISOCPEUR"/>
        </w:rPr>
        <w:t>,</w:t>
      </w:r>
      <w:r w:rsidR="00D24BD5" w:rsidRPr="00B02224">
        <w:rPr>
          <w:rFonts w:ascii="ISOCPEUR" w:hAnsi="ISOCPEUR"/>
        </w:rPr>
        <w:t xml:space="preserve"> autorský kolektiv ATELIER 38 s.r.o., IČ: 258 58 343, sídlo: Porážková 1424/20, 702 00 Ostrava – Moravská Ostrava.</w:t>
      </w:r>
    </w:p>
    <w:p w14:paraId="1B9A1DD4" w14:textId="77777777" w:rsidR="00DC67D6" w:rsidRPr="00B02224" w:rsidRDefault="00D24BD5" w:rsidP="00576FCC">
      <w:pPr>
        <w:pStyle w:val="Odstavecseseznamem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/>
        <w:rPr>
          <w:rFonts w:ascii="ISOCPEUR" w:hAnsi="ISOCPEUR"/>
          <w:b/>
        </w:rPr>
      </w:pPr>
      <w:r w:rsidRPr="00B02224">
        <w:rPr>
          <w:rFonts w:ascii="ISOCPEUR" w:hAnsi="ISOCPEUR"/>
          <w:b/>
        </w:rPr>
        <w:t>[P2] -</w:t>
      </w:r>
      <w:r w:rsidR="007235A9" w:rsidRPr="00B02224">
        <w:rPr>
          <w:rFonts w:ascii="ISOCPEUR" w:hAnsi="ISOCPEUR"/>
          <w:b/>
        </w:rPr>
        <w:t xml:space="preserve"> </w:t>
      </w:r>
      <w:r w:rsidR="007235A9" w:rsidRPr="00B02224">
        <w:rPr>
          <w:rFonts w:ascii="ISOCPEUR" w:hAnsi="ISOCPEUR"/>
        </w:rPr>
        <w:t>Požárně bezpečnostní řešení stavby "Rekonstrukce a přístavba objektu BN 14, Opava"</w:t>
      </w:r>
      <w:r w:rsidR="00576FCC" w:rsidRPr="00B02224">
        <w:rPr>
          <w:rFonts w:ascii="ISOCPEUR" w:hAnsi="ISOCPEUR"/>
        </w:rPr>
        <w:t xml:space="preserve"> červen 2016, PREVENT MORAVIA - Ing. Judita </w:t>
      </w:r>
      <w:proofErr w:type="spellStart"/>
      <w:r w:rsidR="00576FCC" w:rsidRPr="00B02224">
        <w:rPr>
          <w:rFonts w:ascii="ISOCPEUR" w:hAnsi="ISOCPEUR"/>
        </w:rPr>
        <w:t>Spasová</w:t>
      </w:r>
      <w:proofErr w:type="spellEnd"/>
      <w:r w:rsidR="00DC67D6" w:rsidRPr="00B02224">
        <w:rPr>
          <w:rFonts w:ascii="ISOCPEUR" w:hAnsi="ISOCPEUR"/>
        </w:rPr>
        <w:t>.</w:t>
      </w:r>
    </w:p>
    <w:p w14:paraId="1B9A1DD5" w14:textId="77777777" w:rsidR="00DC67D6" w:rsidRPr="00B02224" w:rsidRDefault="00DC67D6" w:rsidP="009A7B66">
      <w:pPr>
        <w:pStyle w:val="Nadpis2"/>
        <w:rPr>
          <w:rFonts w:ascii="ISOCPEUR" w:hAnsi="ISOCPEUR"/>
        </w:rPr>
      </w:pPr>
      <w:bookmarkStart w:id="14" w:name="_Toc403634363"/>
      <w:bookmarkStart w:id="15" w:name="_Toc412711135"/>
      <w:bookmarkStart w:id="16" w:name="_Toc408171"/>
      <w:r w:rsidRPr="00B02224">
        <w:rPr>
          <w:rFonts w:ascii="ISOCPEUR" w:hAnsi="ISOCPEUR"/>
        </w:rPr>
        <w:t>Právní a ostatní předpisy</w:t>
      </w:r>
      <w:bookmarkEnd w:id="14"/>
      <w:bookmarkEnd w:id="15"/>
      <w:bookmarkEnd w:id="16"/>
      <w:r w:rsidRPr="00B02224">
        <w:rPr>
          <w:rFonts w:ascii="ISOCPEUR" w:hAnsi="ISOCPEUR"/>
        </w:rPr>
        <w:t xml:space="preserve"> </w:t>
      </w:r>
    </w:p>
    <w:p w14:paraId="34073504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 xml:space="preserve">ČSN 73 0802 </w:t>
      </w:r>
      <w:proofErr w:type="spellStart"/>
      <w:r w:rsidRPr="002F78F8">
        <w:rPr>
          <w:rFonts w:ascii="ISOCPEUR" w:hAnsi="ISOCPEUR" w:cs="Calibri"/>
        </w:rPr>
        <w:t>ed</w:t>
      </w:r>
      <w:proofErr w:type="spellEnd"/>
      <w:r w:rsidRPr="002F78F8">
        <w:rPr>
          <w:rFonts w:ascii="ISOCPEUR" w:hAnsi="ISOCPEUR" w:cs="Calibri"/>
        </w:rPr>
        <w:t>. 02 Požární bezpečnost staveb – Nevýrobní objekty (vydaná 10/2023)</w:t>
      </w:r>
    </w:p>
    <w:p w14:paraId="1389B27F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 xml:space="preserve">ČSN 73 0804 </w:t>
      </w:r>
      <w:proofErr w:type="spellStart"/>
      <w:r w:rsidRPr="002F78F8">
        <w:rPr>
          <w:rFonts w:ascii="ISOCPEUR" w:hAnsi="ISOCPEUR" w:cs="Calibri"/>
        </w:rPr>
        <w:t>ed</w:t>
      </w:r>
      <w:proofErr w:type="spellEnd"/>
      <w:r w:rsidRPr="002F78F8">
        <w:rPr>
          <w:rFonts w:ascii="ISOCPEUR" w:hAnsi="ISOCPEUR" w:cs="Calibri"/>
        </w:rPr>
        <w:t>. 02 Požární bezpečnost staveb – Výrobní objekty (vydaná 9/2023)</w:t>
      </w:r>
    </w:p>
    <w:p w14:paraId="24917606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 xml:space="preserve">ČSN 73 0810 Požární bezpečnost staveb – Společná ustanovení (vydaná 7/2016, </w:t>
      </w:r>
      <w:proofErr w:type="spellStart"/>
      <w:r w:rsidRPr="002F78F8">
        <w:rPr>
          <w:rFonts w:ascii="ISOCPEUR" w:hAnsi="ISOCPEUR" w:cs="Calibri"/>
        </w:rPr>
        <w:t>opr</w:t>
      </w:r>
      <w:proofErr w:type="spellEnd"/>
      <w:r w:rsidRPr="002F78F8">
        <w:rPr>
          <w:rFonts w:ascii="ISOCPEUR" w:hAnsi="ISOCPEUR" w:cs="Calibri"/>
        </w:rPr>
        <w:t>. 1 3/2020)</w:t>
      </w:r>
    </w:p>
    <w:p w14:paraId="7B698D62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ČSN 73 0818 Požární bezpečnost staveb – Obsazení objektu osobami (vydaná 7/1997 + Z1 10/2002)</w:t>
      </w:r>
    </w:p>
    <w:p w14:paraId="1B61D433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 xml:space="preserve">ČSN 73 0831 </w:t>
      </w:r>
      <w:proofErr w:type="spellStart"/>
      <w:r w:rsidRPr="002F78F8">
        <w:rPr>
          <w:rFonts w:ascii="ISOCPEUR" w:hAnsi="ISOCPEUR" w:cs="Calibri"/>
        </w:rPr>
        <w:t>ed</w:t>
      </w:r>
      <w:proofErr w:type="spellEnd"/>
      <w:r w:rsidRPr="002F78F8">
        <w:rPr>
          <w:rFonts w:ascii="ISOCPEUR" w:hAnsi="ISOCPEUR" w:cs="Calibri"/>
        </w:rPr>
        <w:t>. 02 Požární bezpečnost staveb – Shromažďovací prostory (vydaná 10/2020)</w:t>
      </w:r>
    </w:p>
    <w:p w14:paraId="13167C13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lastRenderedPageBreak/>
        <w:t>ČSN 73 0872 Požární bezpečnost staveb – Ochrana staveb proti šíření požáru vzduchotechnickým zařízením (vydaná 1/1996)</w:t>
      </w:r>
    </w:p>
    <w:p w14:paraId="60A2ACAF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ČSN 73 0873 Požární bezpečnost staveb – Zásobování požární vodou (vydaná 6/2003)</w:t>
      </w:r>
    </w:p>
    <w:p w14:paraId="5BC78FDD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ČSN 73 0875 Požární bezpečnost staveb – Stanovení podmínek pro navrhování elektrické požární signalizace v rámci požárně bezpečnostního řešení (vydaná 4/2011)</w:t>
      </w:r>
    </w:p>
    <w:p w14:paraId="11E6E668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ČSN 730848 Požární bezpečnost staveb – Elektrická zařízení, elektrické instalace a rozvody (vydána 9/2023)</w:t>
      </w:r>
    </w:p>
    <w:p w14:paraId="6221E471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ČSN 06 1008 Požární bezpečnost tepelných zařízení (vydaná 12/1997)</w:t>
      </w:r>
    </w:p>
    <w:p w14:paraId="4945B9E3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 xml:space="preserve">ČSN 33 2130 Elektrotechnické předpisy. Vnitřní elektrické rozvody (vydaná </w:t>
      </w:r>
      <w:proofErr w:type="spellStart"/>
      <w:r w:rsidRPr="002F78F8">
        <w:rPr>
          <w:rFonts w:ascii="ISOCPEUR" w:hAnsi="ISOCPEUR" w:cs="Calibri"/>
        </w:rPr>
        <w:t>ed</w:t>
      </w:r>
      <w:proofErr w:type="spellEnd"/>
      <w:r w:rsidRPr="002F78F8">
        <w:rPr>
          <w:rFonts w:ascii="ISOCPEUR" w:hAnsi="ISOCPEUR" w:cs="Calibri"/>
        </w:rPr>
        <w:t>. 3 12/2014+ Z1 1/2018)</w:t>
      </w:r>
    </w:p>
    <w:p w14:paraId="12F91674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ČSN 65 0201 Hořlavé kapaliny – Prostory pro výrobu, skladování a manipulaci (vydaná 8/2003 + Z1 2/2006)</w:t>
      </w:r>
    </w:p>
    <w:p w14:paraId="67EEB4B6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 xml:space="preserve">ČSN EN ISO 386 4-1 Grafické </w:t>
      </w:r>
      <w:proofErr w:type="gramStart"/>
      <w:r w:rsidRPr="002F78F8">
        <w:rPr>
          <w:rFonts w:ascii="ISOCPEUR" w:hAnsi="ISOCPEUR" w:cs="Calibri"/>
        </w:rPr>
        <w:t>značky - Bezpečnostní</w:t>
      </w:r>
      <w:proofErr w:type="gramEnd"/>
      <w:r w:rsidRPr="002F78F8">
        <w:rPr>
          <w:rFonts w:ascii="ISOCPEUR" w:hAnsi="ISOCPEUR" w:cs="Calibri"/>
        </w:rPr>
        <w:t xml:space="preserve"> barvy a bezpečnostní značky - Část 1: Zásady navrhování bezpečnostních značek a bezpečnostního značení (vydaná 12/2012)</w:t>
      </w:r>
    </w:p>
    <w:p w14:paraId="4B97A8BF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NV. č. 375/2017 Sb. (ve znění pozdějších předpisů) - Nařízení vlády o vzhledu, umístění a provedení bezpečnostních značek a značení a zavedení signálů</w:t>
      </w:r>
    </w:p>
    <w:p w14:paraId="1431802E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 xml:space="preserve">Zákon č. 133/1985 Sb. (ve znění pozdějších předpisů) - Zákon o požární ochraně </w:t>
      </w:r>
    </w:p>
    <w:p w14:paraId="4A0F218D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proofErr w:type="spellStart"/>
      <w:r w:rsidRPr="002F78F8">
        <w:rPr>
          <w:rFonts w:ascii="ISOCPEUR" w:hAnsi="ISOCPEUR" w:cs="Calibri"/>
        </w:rPr>
        <w:t>Vyhl</w:t>
      </w:r>
      <w:proofErr w:type="spellEnd"/>
      <w:r w:rsidRPr="002F78F8">
        <w:rPr>
          <w:rFonts w:ascii="ISOCPEUR" w:hAnsi="ISOCPEUR" w:cs="Calibri"/>
        </w:rPr>
        <w:t>. č. 246/2001 Sb. (ve znění pozdějších předpisů) - Vyhláška o požární prevenci</w:t>
      </w:r>
    </w:p>
    <w:p w14:paraId="41870AF2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proofErr w:type="spellStart"/>
      <w:r w:rsidRPr="002F78F8">
        <w:rPr>
          <w:rFonts w:ascii="ISOCPEUR" w:hAnsi="ISOCPEUR" w:cs="Calibri"/>
        </w:rPr>
        <w:t>Vyhl</w:t>
      </w:r>
      <w:proofErr w:type="spellEnd"/>
      <w:r w:rsidRPr="002F78F8">
        <w:rPr>
          <w:rFonts w:ascii="ISOCPEUR" w:hAnsi="ISOCPEUR" w:cs="Calibri"/>
        </w:rPr>
        <w:t xml:space="preserve">. č. 23/2008 Sb. (ve znění pozdějších předpisů) - Vyhláška o technických podmínkách požární ochrany staveb </w:t>
      </w:r>
    </w:p>
    <w:p w14:paraId="74BBAEE4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Vyhláška č. 34/2016 Sb. (ve znění pozdějších předpisů) - Vyhláška o čištění, kontrole a revizi spalinové cesty</w:t>
      </w:r>
    </w:p>
    <w:p w14:paraId="5F315DE2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Zákon č. 283/2021 Sb. (ve znění pozdějších předpisů) - Stavební zákon</w:t>
      </w:r>
    </w:p>
    <w:p w14:paraId="03EB8717" w14:textId="77777777" w:rsidR="002F78F8" w:rsidRPr="002F78F8" w:rsidRDefault="002F78F8" w:rsidP="002F78F8">
      <w:pPr>
        <w:numPr>
          <w:ilvl w:val="0"/>
          <w:numId w:val="8"/>
        </w:numPr>
        <w:tabs>
          <w:tab w:val="clear" w:pos="720"/>
          <w:tab w:val="num" w:pos="426"/>
          <w:tab w:val="num" w:pos="1070"/>
          <w:tab w:val="left" w:pos="6663"/>
        </w:tabs>
        <w:spacing w:before="60" w:after="60"/>
        <w:ind w:left="426"/>
        <w:jc w:val="both"/>
        <w:rPr>
          <w:rFonts w:ascii="ISOCPEUR" w:hAnsi="ISOCPEUR" w:cs="Calibri"/>
        </w:rPr>
      </w:pPr>
      <w:r w:rsidRPr="002F78F8">
        <w:rPr>
          <w:rFonts w:ascii="ISOCPEUR" w:hAnsi="ISOCPEUR" w:cs="Calibri"/>
        </w:rPr>
        <w:t>Vyhláška č. 460/2021 Sb., (ve znění pozdějších předpisů) - Vyhláška o kategorizaci staveb z hlediska požární bezpečnosti a ochrany obyvatelstva</w:t>
      </w:r>
    </w:p>
    <w:p w14:paraId="1B9A1DE8" w14:textId="77777777" w:rsidR="00047CB5" w:rsidRPr="00B02224" w:rsidRDefault="00047CB5" w:rsidP="009A7B66">
      <w:pPr>
        <w:pStyle w:val="Nadpis2"/>
        <w:rPr>
          <w:rFonts w:ascii="ISOCPEUR" w:hAnsi="ISOCPEUR"/>
        </w:rPr>
      </w:pPr>
      <w:bookmarkStart w:id="17" w:name="_Toc412711136"/>
      <w:bookmarkStart w:id="18" w:name="_Toc408172"/>
      <w:r w:rsidRPr="00B02224">
        <w:rPr>
          <w:rFonts w:ascii="ISOCPEUR" w:hAnsi="ISOCPEUR"/>
        </w:rPr>
        <w:t>Použité zkratky</w:t>
      </w:r>
      <w:bookmarkEnd w:id="17"/>
      <w:bookmarkEnd w:id="18"/>
    </w:p>
    <w:tbl>
      <w:tblPr>
        <w:tblW w:w="0" w:type="auto"/>
        <w:tblLook w:val="00BF" w:firstRow="1" w:lastRow="0" w:firstColumn="1" w:lastColumn="0" w:noHBand="0" w:noVBand="0"/>
      </w:tblPr>
      <w:tblGrid>
        <w:gridCol w:w="1668"/>
        <w:gridCol w:w="3402"/>
      </w:tblGrid>
      <w:tr w:rsidR="00047CB5" w:rsidRPr="00B02224" w14:paraId="1B9A1DEB" w14:textId="77777777" w:rsidTr="00047CB5">
        <w:tc>
          <w:tcPr>
            <w:tcW w:w="1668" w:type="dxa"/>
            <w:vAlign w:val="center"/>
          </w:tcPr>
          <w:p w14:paraId="1B9A1DE9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PÚ</w:t>
            </w:r>
          </w:p>
        </w:tc>
        <w:tc>
          <w:tcPr>
            <w:tcW w:w="3402" w:type="dxa"/>
            <w:vAlign w:val="center"/>
          </w:tcPr>
          <w:p w14:paraId="1B9A1DEA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požární úsek</w:t>
            </w:r>
          </w:p>
        </w:tc>
      </w:tr>
      <w:tr w:rsidR="00047CB5" w:rsidRPr="00B02224" w14:paraId="1B9A1DEE" w14:textId="77777777" w:rsidTr="00047CB5">
        <w:tc>
          <w:tcPr>
            <w:tcW w:w="1668" w:type="dxa"/>
            <w:vAlign w:val="center"/>
          </w:tcPr>
          <w:p w14:paraId="1B9A1DEC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ŽB</w:t>
            </w:r>
          </w:p>
        </w:tc>
        <w:tc>
          <w:tcPr>
            <w:tcW w:w="3402" w:type="dxa"/>
            <w:vAlign w:val="center"/>
          </w:tcPr>
          <w:p w14:paraId="1B9A1DED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železobeton</w:t>
            </w:r>
          </w:p>
        </w:tc>
      </w:tr>
      <w:tr w:rsidR="00047CB5" w:rsidRPr="00B02224" w14:paraId="1B9A1DF1" w14:textId="77777777" w:rsidTr="00047CB5">
        <w:tc>
          <w:tcPr>
            <w:tcW w:w="1668" w:type="dxa"/>
            <w:vAlign w:val="center"/>
          </w:tcPr>
          <w:p w14:paraId="1B9A1DEF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proofErr w:type="spellStart"/>
            <w:r w:rsidRPr="00B02224">
              <w:rPr>
                <w:rFonts w:ascii="ISOCPEUR" w:hAnsi="ISOCPEUR" w:cs="Arial"/>
              </w:rPr>
              <w:t>ú.p</w:t>
            </w:r>
            <w:proofErr w:type="spellEnd"/>
            <w:r w:rsidRPr="00B02224">
              <w:rPr>
                <w:rFonts w:ascii="ISOCPEUR" w:hAnsi="ISOCPEUR" w:cs="Arial"/>
              </w:rPr>
              <w:t>.</w:t>
            </w:r>
          </w:p>
        </w:tc>
        <w:tc>
          <w:tcPr>
            <w:tcW w:w="3402" w:type="dxa"/>
            <w:vAlign w:val="center"/>
          </w:tcPr>
          <w:p w14:paraId="1B9A1DF0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únikový pruh</w:t>
            </w:r>
          </w:p>
        </w:tc>
      </w:tr>
      <w:tr w:rsidR="00047CB5" w:rsidRPr="00B02224" w14:paraId="1B9A1DF4" w14:textId="77777777" w:rsidTr="00047CB5">
        <w:tc>
          <w:tcPr>
            <w:tcW w:w="1668" w:type="dxa"/>
            <w:vAlign w:val="center"/>
          </w:tcPr>
          <w:p w14:paraId="1B9A1DF2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ÚC</w:t>
            </w:r>
          </w:p>
        </w:tc>
        <w:tc>
          <w:tcPr>
            <w:tcW w:w="3402" w:type="dxa"/>
            <w:vAlign w:val="center"/>
          </w:tcPr>
          <w:p w14:paraId="1B9A1DF3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úniková cesta</w:t>
            </w:r>
          </w:p>
        </w:tc>
      </w:tr>
      <w:tr w:rsidR="00047CB5" w:rsidRPr="00B02224" w14:paraId="1B9A1DF7" w14:textId="77777777" w:rsidTr="00047CB5">
        <w:tc>
          <w:tcPr>
            <w:tcW w:w="1668" w:type="dxa"/>
            <w:vAlign w:val="center"/>
          </w:tcPr>
          <w:p w14:paraId="1B9A1DF5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EPS</w:t>
            </w:r>
          </w:p>
        </w:tc>
        <w:tc>
          <w:tcPr>
            <w:tcW w:w="3402" w:type="dxa"/>
            <w:vAlign w:val="center"/>
          </w:tcPr>
          <w:p w14:paraId="1B9A1DF6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elektrická požární signalizace</w:t>
            </w:r>
          </w:p>
        </w:tc>
      </w:tr>
      <w:tr w:rsidR="00047CB5" w:rsidRPr="00B02224" w14:paraId="1B9A1DFA" w14:textId="77777777" w:rsidTr="00047CB5">
        <w:tc>
          <w:tcPr>
            <w:tcW w:w="1668" w:type="dxa"/>
            <w:vAlign w:val="center"/>
          </w:tcPr>
          <w:p w14:paraId="1B9A1DF8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 xml:space="preserve">SHZ </w:t>
            </w:r>
          </w:p>
        </w:tc>
        <w:tc>
          <w:tcPr>
            <w:tcW w:w="3402" w:type="dxa"/>
            <w:vAlign w:val="center"/>
          </w:tcPr>
          <w:p w14:paraId="1B9A1DF9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stabilní hasicí zařízení</w:t>
            </w:r>
          </w:p>
        </w:tc>
      </w:tr>
      <w:tr w:rsidR="00047CB5" w:rsidRPr="00B02224" w14:paraId="1B9A1DFD" w14:textId="77777777" w:rsidTr="00047CB5">
        <w:tc>
          <w:tcPr>
            <w:tcW w:w="1668" w:type="dxa"/>
            <w:vAlign w:val="center"/>
          </w:tcPr>
          <w:p w14:paraId="1B9A1DFB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ZOKT</w:t>
            </w:r>
          </w:p>
        </w:tc>
        <w:tc>
          <w:tcPr>
            <w:tcW w:w="3402" w:type="dxa"/>
            <w:vAlign w:val="center"/>
          </w:tcPr>
          <w:p w14:paraId="1B9A1DFC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zařízení pro odvod kouře a tepla</w:t>
            </w:r>
          </w:p>
        </w:tc>
      </w:tr>
      <w:tr w:rsidR="00047CB5" w:rsidRPr="00B02224" w14:paraId="1B9A1E00" w14:textId="77777777" w:rsidTr="00047CB5">
        <w:tc>
          <w:tcPr>
            <w:tcW w:w="1668" w:type="dxa"/>
            <w:vAlign w:val="center"/>
          </w:tcPr>
          <w:p w14:paraId="1B9A1DFE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SPB</w:t>
            </w:r>
          </w:p>
        </w:tc>
        <w:tc>
          <w:tcPr>
            <w:tcW w:w="3402" w:type="dxa"/>
            <w:vAlign w:val="center"/>
          </w:tcPr>
          <w:p w14:paraId="1B9A1DFF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stupeň požární bezpečnosti</w:t>
            </w:r>
          </w:p>
        </w:tc>
      </w:tr>
      <w:tr w:rsidR="00047CB5" w:rsidRPr="00B02224" w14:paraId="1B9A1E03" w14:textId="77777777" w:rsidTr="00047CB5">
        <w:tc>
          <w:tcPr>
            <w:tcW w:w="1668" w:type="dxa"/>
            <w:vAlign w:val="center"/>
          </w:tcPr>
          <w:p w14:paraId="1B9A1E01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PBZ</w:t>
            </w:r>
          </w:p>
        </w:tc>
        <w:tc>
          <w:tcPr>
            <w:tcW w:w="3402" w:type="dxa"/>
            <w:vAlign w:val="center"/>
          </w:tcPr>
          <w:p w14:paraId="1B9A1E02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požárně bezpečnostní zařízení</w:t>
            </w:r>
          </w:p>
        </w:tc>
      </w:tr>
      <w:tr w:rsidR="00047CB5" w:rsidRPr="00B02224" w14:paraId="1B9A1E06" w14:textId="77777777" w:rsidTr="00047CB5">
        <w:tc>
          <w:tcPr>
            <w:tcW w:w="1668" w:type="dxa"/>
            <w:vAlign w:val="center"/>
          </w:tcPr>
          <w:p w14:paraId="1B9A1E04" w14:textId="77777777" w:rsidR="00047CB5" w:rsidRPr="00B02224" w:rsidRDefault="00047CB5" w:rsidP="0075111D">
            <w:pPr>
              <w:numPr>
                <w:ilvl w:val="0"/>
                <w:numId w:val="9"/>
              </w:numPr>
              <w:spacing w:line="276" w:lineRule="auto"/>
              <w:ind w:left="426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HK</w:t>
            </w:r>
          </w:p>
        </w:tc>
        <w:tc>
          <w:tcPr>
            <w:tcW w:w="3402" w:type="dxa"/>
            <w:vAlign w:val="center"/>
          </w:tcPr>
          <w:p w14:paraId="1B9A1E05" w14:textId="77777777" w:rsidR="00047CB5" w:rsidRPr="00B02224" w:rsidRDefault="00047CB5" w:rsidP="00047CB5">
            <w:pPr>
              <w:spacing w:line="276" w:lineRule="auto"/>
              <w:rPr>
                <w:rFonts w:ascii="ISOCPEUR" w:hAnsi="ISOCPEUR" w:cs="Arial"/>
              </w:rPr>
            </w:pPr>
            <w:r w:rsidRPr="00B02224">
              <w:rPr>
                <w:rFonts w:ascii="ISOCPEUR" w:hAnsi="ISOCPEUR" w:cs="Arial"/>
              </w:rPr>
              <w:t>hořlavá kapalina</w:t>
            </w:r>
          </w:p>
        </w:tc>
      </w:tr>
    </w:tbl>
    <w:p w14:paraId="1B9A1E07" w14:textId="77777777" w:rsidR="004D3800" w:rsidRPr="00B02224" w:rsidRDefault="004D3800" w:rsidP="004D3800">
      <w:pPr>
        <w:pStyle w:val="Nadpis1"/>
        <w:rPr>
          <w:rFonts w:ascii="ISOCPEUR" w:hAnsi="ISOCPEUR"/>
        </w:rPr>
      </w:pPr>
      <w:bookmarkStart w:id="19" w:name="_Toc412711137"/>
      <w:bookmarkStart w:id="20" w:name="_Toc408173"/>
      <w:r w:rsidRPr="00B02224">
        <w:rPr>
          <w:rFonts w:ascii="ISOCPEUR" w:hAnsi="ISOCPEUR"/>
        </w:rPr>
        <w:lastRenderedPageBreak/>
        <w:t>Stručný popis stavby z hlediska stavebních konstrukcí, výšky stavby, účelu užití, popř. popisu a zhodnocení technologie a provozu, umístění stavby ve vztahu k okolní zástavbě</w:t>
      </w:r>
      <w:bookmarkEnd w:id="19"/>
      <w:bookmarkEnd w:id="20"/>
    </w:p>
    <w:p w14:paraId="1B9A1E08" w14:textId="77777777" w:rsidR="008F49A5" w:rsidRPr="00B02224" w:rsidRDefault="008F49A5" w:rsidP="008F49A5">
      <w:pPr>
        <w:keepNext/>
        <w:numPr>
          <w:ilvl w:val="1"/>
          <w:numId w:val="0"/>
        </w:numPr>
        <w:tabs>
          <w:tab w:val="num" w:pos="576"/>
        </w:tabs>
        <w:spacing w:before="120" w:after="120"/>
        <w:ind w:left="567" w:hanging="567"/>
        <w:outlineLvl w:val="1"/>
        <w:rPr>
          <w:rFonts w:ascii="ISOCPEUR" w:hAnsi="ISOCPEUR" w:cs="Calibri"/>
          <w:b/>
          <w:bCs/>
          <w:iCs/>
          <w:szCs w:val="28"/>
        </w:rPr>
      </w:pPr>
      <w:bookmarkStart w:id="21" w:name="_Toc246047696"/>
      <w:bookmarkStart w:id="22" w:name="_Toc266247010"/>
      <w:bookmarkStart w:id="23" w:name="_Toc274723788"/>
      <w:bookmarkStart w:id="24" w:name="_Toc337364829"/>
      <w:bookmarkStart w:id="25" w:name="_Toc359432967"/>
      <w:bookmarkStart w:id="26" w:name="_Toc400644093"/>
      <w:bookmarkStart w:id="27" w:name="_Toc408174"/>
      <w:r w:rsidRPr="00B02224">
        <w:rPr>
          <w:rFonts w:ascii="ISOCPEUR" w:hAnsi="ISOCPEUR" w:cs="Calibri"/>
          <w:b/>
          <w:bCs/>
          <w:iCs/>
          <w:szCs w:val="28"/>
        </w:rPr>
        <w:t xml:space="preserve">Stavební </w:t>
      </w:r>
      <w:proofErr w:type="gramStart"/>
      <w:r w:rsidRPr="00B02224">
        <w:rPr>
          <w:rFonts w:ascii="ISOCPEUR" w:hAnsi="ISOCPEUR" w:cs="Calibri"/>
          <w:b/>
          <w:bCs/>
          <w:iCs/>
          <w:szCs w:val="28"/>
        </w:rPr>
        <w:t>řešení</w:t>
      </w:r>
      <w:bookmarkEnd w:id="21"/>
      <w:bookmarkEnd w:id="22"/>
      <w:bookmarkEnd w:id="23"/>
      <w:bookmarkEnd w:id="24"/>
      <w:bookmarkEnd w:id="25"/>
      <w:bookmarkEnd w:id="26"/>
      <w:r w:rsidRPr="00B02224">
        <w:rPr>
          <w:rFonts w:ascii="ISOCPEUR" w:hAnsi="ISOCPEUR" w:cs="Calibri"/>
          <w:b/>
          <w:bCs/>
          <w:iCs/>
          <w:szCs w:val="28"/>
        </w:rPr>
        <w:t xml:space="preserve"> - stávající</w:t>
      </w:r>
      <w:proofErr w:type="gramEnd"/>
      <w:r w:rsidRPr="00B02224">
        <w:rPr>
          <w:rFonts w:ascii="ISOCPEUR" w:hAnsi="ISOCPEUR" w:cs="Calibri"/>
          <w:b/>
          <w:bCs/>
          <w:iCs/>
          <w:szCs w:val="28"/>
        </w:rPr>
        <w:t xml:space="preserve"> objekt</w:t>
      </w:r>
      <w:bookmarkEnd w:id="27"/>
    </w:p>
    <w:p w14:paraId="1B9A1E09" w14:textId="77777777" w:rsidR="008F49A5" w:rsidRPr="00B02224" w:rsidRDefault="008F49A5" w:rsidP="008F49A5">
      <w:pPr>
        <w:keepNext/>
        <w:numPr>
          <w:ilvl w:val="1"/>
          <w:numId w:val="0"/>
        </w:numPr>
        <w:tabs>
          <w:tab w:val="num" w:pos="0"/>
        </w:tabs>
        <w:spacing w:before="120" w:after="120"/>
        <w:jc w:val="both"/>
        <w:outlineLvl w:val="1"/>
        <w:rPr>
          <w:rFonts w:ascii="ISOCPEUR" w:hAnsi="ISOCPEUR" w:cs="Calibri"/>
          <w:bCs/>
          <w:iCs/>
          <w:szCs w:val="28"/>
        </w:rPr>
      </w:pPr>
      <w:bookmarkStart w:id="28" w:name="_Toc408175"/>
      <w:r w:rsidRPr="00B02224">
        <w:rPr>
          <w:rFonts w:ascii="ISOCPEUR" w:hAnsi="ISOCPEUR" w:cs="Calibri"/>
          <w:bCs/>
          <w:iCs/>
          <w:szCs w:val="28"/>
        </w:rPr>
        <w:t>Obvodové stěny vyzděny z cihel; stropy železobetonové monolitické; v </w:t>
      </w:r>
      <w:proofErr w:type="gramStart"/>
      <w:r w:rsidRPr="00B02224">
        <w:rPr>
          <w:rFonts w:ascii="ISOCPEUR" w:hAnsi="ISOCPEUR" w:cs="Calibri"/>
          <w:bCs/>
          <w:iCs/>
          <w:szCs w:val="28"/>
        </w:rPr>
        <w:t>podkroví - dřevěná</w:t>
      </w:r>
      <w:proofErr w:type="gramEnd"/>
      <w:r w:rsidRPr="00B02224">
        <w:rPr>
          <w:rFonts w:ascii="ISOCPEUR" w:hAnsi="ISOCPEUR" w:cs="Calibri"/>
          <w:bCs/>
          <w:iCs/>
          <w:szCs w:val="28"/>
        </w:rPr>
        <w:t xml:space="preserve"> nosná konstrukce střechy opatřena celistvými sádrokartonovými pod-hledy s požadovanou požární odolností; viditelné dřevěné prvky opatřeny transparentním protipožárním nátěrem na požadovanou požární odolnost.</w:t>
      </w:r>
      <w:bookmarkEnd w:id="28"/>
    </w:p>
    <w:p w14:paraId="1B9A1E0C" w14:textId="77777777" w:rsidR="00393C09" w:rsidRPr="00B02224" w:rsidRDefault="00393C09" w:rsidP="00393C09">
      <w:pPr>
        <w:keepNext/>
        <w:numPr>
          <w:ilvl w:val="1"/>
          <w:numId w:val="0"/>
        </w:numPr>
        <w:tabs>
          <w:tab w:val="num" w:pos="0"/>
        </w:tabs>
        <w:spacing w:before="120" w:after="120"/>
        <w:jc w:val="both"/>
        <w:outlineLvl w:val="1"/>
        <w:rPr>
          <w:rFonts w:ascii="ISOCPEUR" w:hAnsi="ISOCPEUR" w:cs="Calibri"/>
          <w:bCs/>
          <w:iCs/>
          <w:szCs w:val="28"/>
        </w:rPr>
      </w:pPr>
      <w:bookmarkStart w:id="29" w:name="_Toc365319020"/>
      <w:bookmarkStart w:id="30" w:name="_Toc376696919"/>
      <w:bookmarkStart w:id="31" w:name="_Toc264976045"/>
      <w:bookmarkStart w:id="32" w:name="_Toc297465447"/>
      <w:bookmarkStart w:id="33" w:name="_Toc266247012"/>
      <w:bookmarkStart w:id="34" w:name="_Toc274723790"/>
      <w:bookmarkStart w:id="35" w:name="_Toc346043226"/>
      <w:bookmarkStart w:id="36" w:name="_Toc408176"/>
      <w:bookmarkEnd w:id="5"/>
      <w:r w:rsidRPr="00B02224">
        <w:rPr>
          <w:rFonts w:ascii="ISOCPEUR" w:hAnsi="ISOCPEUR" w:cs="Calibri"/>
          <w:bCs/>
          <w:iCs/>
          <w:szCs w:val="28"/>
        </w:rPr>
        <w:t xml:space="preserve">Stropy v 1. a 2. podlaží a částečně ve 3. podlaží (nad posluchárnami) jsou železobetonové (prefabrikované ŽB stropní panely), popř. se zavěšenými podhledy </w:t>
      </w:r>
      <w:proofErr w:type="gramStart"/>
      <w:r w:rsidRPr="00B02224">
        <w:rPr>
          <w:rFonts w:ascii="ISOCPEUR" w:hAnsi="ISOCPEUR" w:cs="Calibri"/>
          <w:bCs/>
          <w:iCs/>
          <w:szCs w:val="28"/>
        </w:rPr>
        <w:t>s  příslušným</w:t>
      </w:r>
      <w:proofErr w:type="gramEnd"/>
      <w:r w:rsidRPr="00B02224">
        <w:rPr>
          <w:rFonts w:ascii="ISOCPEUR" w:hAnsi="ISOCPEUR" w:cs="Calibri"/>
          <w:bCs/>
          <w:iCs/>
          <w:szCs w:val="28"/>
        </w:rPr>
        <w:t xml:space="preserve"> indexem šíření plamene - dle požadavků ČSN.</w:t>
      </w:r>
      <w:bookmarkEnd w:id="36"/>
    </w:p>
    <w:p w14:paraId="1B9A1E0D" w14:textId="77777777" w:rsidR="00393C09" w:rsidRPr="00B02224" w:rsidRDefault="00393C09" w:rsidP="00393C09">
      <w:pPr>
        <w:keepNext/>
        <w:numPr>
          <w:ilvl w:val="1"/>
          <w:numId w:val="0"/>
        </w:numPr>
        <w:tabs>
          <w:tab w:val="num" w:pos="0"/>
        </w:tabs>
        <w:spacing w:before="120" w:after="120"/>
        <w:jc w:val="both"/>
        <w:outlineLvl w:val="1"/>
        <w:rPr>
          <w:rFonts w:ascii="ISOCPEUR" w:hAnsi="ISOCPEUR" w:cs="Calibri"/>
          <w:bCs/>
          <w:iCs/>
          <w:szCs w:val="28"/>
        </w:rPr>
      </w:pPr>
      <w:bookmarkStart w:id="37" w:name="_Toc408177"/>
      <w:r w:rsidRPr="00B02224">
        <w:rPr>
          <w:rFonts w:ascii="ISOCPEUR" w:hAnsi="ISOCPEUR" w:cs="Calibri"/>
          <w:bCs/>
          <w:iCs/>
          <w:szCs w:val="28"/>
        </w:rPr>
        <w:t xml:space="preserve">Ocelová nosná konstrukce </w:t>
      </w:r>
      <w:proofErr w:type="gramStart"/>
      <w:r w:rsidRPr="00B02224">
        <w:rPr>
          <w:rFonts w:ascii="ISOCPEUR" w:hAnsi="ISOCPEUR" w:cs="Calibri"/>
          <w:bCs/>
          <w:iCs/>
          <w:szCs w:val="28"/>
        </w:rPr>
        <w:t>střechy - v</w:t>
      </w:r>
      <w:proofErr w:type="gramEnd"/>
      <w:r w:rsidRPr="00B02224">
        <w:rPr>
          <w:rFonts w:ascii="ISOCPEUR" w:hAnsi="ISOCPEUR" w:cs="Calibri"/>
          <w:bCs/>
          <w:iCs/>
          <w:szCs w:val="28"/>
        </w:rPr>
        <w:t> garáží a ve zbývajících prostorách 3. podlaží, se zavěšenými celistvými podhledy s požadovanou požární odolností (v garáží částečně pro nadzemní podlaží a částečně pro poslední nadzemní podlaží) a s příslušným indexem šíření plamene, dle požadavků ČSN;</w:t>
      </w:r>
      <w:bookmarkEnd w:id="37"/>
    </w:p>
    <w:p w14:paraId="1B9A1E0E" w14:textId="77777777" w:rsidR="001102AF" w:rsidRPr="00B02224" w:rsidRDefault="001102AF" w:rsidP="001102AF">
      <w:pPr>
        <w:keepNext/>
        <w:numPr>
          <w:ilvl w:val="1"/>
          <w:numId w:val="0"/>
        </w:numPr>
        <w:tabs>
          <w:tab w:val="left" w:pos="0"/>
        </w:tabs>
        <w:spacing w:before="120" w:after="120"/>
        <w:jc w:val="both"/>
        <w:outlineLvl w:val="1"/>
        <w:rPr>
          <w:rFonts w:ascii="ISOCPEUR" w:hAnsi="ISOCPEUR" w:cs="Calibri"/>
          <w:bCs/>
          <w:iCs/>
          <w:szCs w:val="28"/>
        </w:rPr>
      </w:pPr>
      <w:bookmarkStart w:id="38" w:name="_Toc408178"/>
      <w:r w:rsidRPr="00B02224">
        <w:rPr>
          <w:rFonts w:ascii="ISOCPEUR" w:hAnsi="ISOCPEUR" w:cs="Calibri"/>
          <w:bCs/>
          <w:iCs/>
          <w:szCs w:val="28"/>
        </w:rPr>
        <w:t xml:space="preserve">Hlavní tříramenné schodiště (ve 2. nadzemním </w:t>
      </w:r>
      <w:proofErr w:type="gramStart"/>
      <w:r w:rsidRPr="00B02224">
        <w:rPr>
          <w:rFonts w:ascii="ISOCPEUR" w:hAnsi="ISOCPEUR" w:cs="Calibri"/>
          <w:bCs/>
          <w:iCs/>
          <w:szCs w:val="28"/>
        </w:rPr>
        <w:t>podlaží - se</w:t>
      </w:r>
      <w:proofErr w:type="gramEnd"/>
      <w:r w:rsidRPr="00B02224">
        <w:rPr>
          <w:rFonts w:ascii="ISOCPEUR" w:hAnsi="ISOCPEUR" w:cs="Calibri"/>
          <w:bCs/>
          <w:iCs/>
          <w:szCs w:val="28"/>
        </w:rPr>
        <w:t xml:space="preserve"> vchodem z náměstí, s vrátnicí - „nechráněná úniková cesta“) a dvě stavebně a požárně oddělená schodiště (v zadních částech traktů - chráněné únikové cesty) jsou železobetonová; venkovní otevřené schodiště ocelové,</w:t>
      </w:r>
      <w:r w:rsidRPr="00B02224">
        <w:rPr>
          <w:rFonts w:ascii="ISOCPEUR" w:hAnsi="ISOCPEUR" w:cs="Calibri"/>
          <w:bCs/>
          <w:i/>
          <w:iCs/>
          <w:szCs w:val="28"/>
        </w:rPr>
        <w:t xml:space="preserve"> </w:t>
      </w:r>
      <w:r w:rsidRPr="00B02224">
        <w:rPr>
          <w:rFonts w:ascii="ISOCPEUR" w:hAnsi="ISOCPEUR" w:cs="Calibri"/>
          <w:bCs/>
          <w:iCs/>
          <w:szCs w:val="28"/>
        </w:rPr>
        <w:t>podesty tvořeny ocelovými rošty</w:t>
      </w:r>
      <w:r w:rsidR="00F168EF" w:rsidRPr="00B02224">
        <w:rPr>
          <w:rFonts w:ascii="ISOCPEUR" w:hAnsi="ISOCPEUR" w:cs="Calibri"/>
          <w:bCs/>
          <w:iCs/>
          <w:szCs w:val="28"/>
        </w:rPr>
        <w:t>.</w:t>
      </w:r>
      <w:bookmarkEnd w:id="38"/>
    </w:p>
    <w:p w14:paraId="1B9A1E0F" w14:textId="77777777" w:rsidR="00DA381E" w:rsidRPr="00B02224" w:rsidRDefault="00DA381E" w:rsidP="00DA381E">
      <w:pPr>
        <w:keepNext/>
        <w:numPr>
          <w:ilvl w:val="1"/>
          <w:numId w:val="0"/>
        </w:numPr>
        <w:tabs>
          <w:tab w:val="num" w:pos="576"/>
        </w:tabs>
        <w:spacing w:before="120" w:after="120"/>
        <w:ind w:left="567" w:hanging="567"/>
        <w:outlineLvl w:val="1"/>
        <w:rPr>
          <w:rFonts w:ascii="ISOCPEUR" w:hAnsi="ISOCPEUR" w:cs="Calibri"/>
          <w:b/>
          <w:bCs/>
          <w:iCs/>
          <w:szCs w:val="28"/>
        </w:rPr>
      </w:pPr>
      <w:bookmarkStart w:id="39" w:name="_Toc408179"/>
      <w:bookmarkStart w:id="40" w:name="_Toc389455966"/>
      <w:r w:rsidRPr="00B02224">
        <w:rPr>
          <w:rFonts w:ascii="ISOCPEUR" w:hAnsi="ISOCPEUR" w:cs="Calibri"/>
          <w:b/>
          <w:bCs/>
          <w:iCs/>
          <w:szCs w:val="28"/>
        </w:rPr>
        <w:t xml:space="preserve">Stavební </w:t>
      </w:r>
      <w:proofErr w:type="gramStart"/>
      <w:r w:rsidRPr="00B02224">
        <w:rPr>
          <w:rFonts w:ascii="ISOCPEUR" w:hAnsi="ISOCPEUR" w:cs="Calibri"/>
          <w:b/>
          <w:bCs/>
          <w:iCs/>
          <w:szCs w:val="28"/>
        </w:rPr>
        <w:t>řešení - navrhovan</w:t>
      </w:r>
      <w:r w:rsidR="00D80CE4" w:rsidRPr="00B02224">
        <w:rPr>
          <w:rFonts w:ascii="ISOCPEUR" w:hAnsi="ISOCPEUR" w:cs="Calibri"/>
          <w:b/>
          <w:bCs/>
          <w:iCs/>
          <w:szCs w:val="28"/>
        </w:rPr>
        <w:t>é</w:t>
      </w:r>
      <w:proofErr w:type="gramEnd"/>
      <w:r w:rsidR="00D80CE4" w:rsidRPr="00B02224">
        <w:rPr>
          <w:rFonts w:ascii="ISOCPEUR" w:hAnsi="ISOCPEUR" w:cs="Calibri"/>
          <w:b/>
          <w:bCs/>
          <w:iCs/>
          <w:szCs w:val="28"/>
        </w:rPr>
        <w:t xml:space="preserve"> zastřešení </w:t>
      </w:r>
      <w:proofErr w:type="spellStart"/>
      <w:r w:rsidR="00D80CE4" w:rsidRPr="00B02224">
        <w:rPr>
          <w:rFonts w:ascii="ISOCPEUR" w:hAnsi="ISOCPEUR" w:cs="Calibri"/>
          <w:b/>
          <w:bCs/>
          <w:iCs/>
          <w:szCs w:val="28"/>
        </w:rPr>
        <w:t>átria</w:t>
      </w:r>
      <w:bookmarkEnd w:id="39"/>
      <w:proofErr w:type="spellEnd"/>
    </w:p>
    <w:p w14:paraId="1B9A1E10" w14:textId="77777777" w:rsidR="00D80CE4" w:rsidRPr="00B02224" w:rsidRDefault="00FC23BF" w:rsidP="00DA381E">
      <w:pPr>
        <w:pStyle w:val="499textodrazeny"/>
        <w:spacing w:line="276" w:lineRule="auto"/>
        <w:ind w:left="0"/>
        <w:jc w:val="both"/>
        <w:rPr>
          <w:rFonts w:ascii="ISOCPEUR" w:hAnsi="ISOCPEUR" w:cs="Courier New"/>
          <w:color w:val="auto"/>
          <w:sz w:val="24"/>
          <w:szCs w:val="24"/>
        </w:rPr>
      </w:pPr>
      <w:r w:rsidRPr="00B02224">
        <w:rPr>
          <w:rFonts w:ascii="ISOCPEUR" w:hAnsi="ISOCPEUR" w:cs="Courier New"/>
          <w:color w:val="auto"/>
          <w:sz w:val="24"/>
          <w:szCs w:val="24"/>
        </w:rPr>
        <w:t>Stávající atrium bude zastřešeno ocelovou nosnou konstrukcí, svislé opláštění vstupní stěny bude provedeno ze</w:t>
      </w:r>
      <w:r w:rsidR="0061761C" w:rsidRPr="00B02224">
        <w:rPr>
          <w:rFonts w:ascii="ISOCPEUR" w:hAnsi="ISOCPEUR" w:cs="Courier New"/>
          <w:color w:val="auto"/>
          <w:sz w:val="24"/>
          <w:szCs w:val="24"/>
        </w:rPr>
        <w:t xml:space="preserve"> sendvičových panelů </w:t>
      </w:r>
      <w:r w:rsidRPr="00B02224">
        <w:rPr>
          <w:rFonts w:ascii="ISOCPEUR" w:hAnsi="ISOCPEUR" w:cs="Courier New"/>
          <w:color w:val="auto"/>
          <w:sz w:val="24"/>
          <w:szCs w:val="24"/>
        </w:rPr>
        <w:t xml:space="preserve">s požadovanou požární odolností. Vstup do nově zastřešeného atria bude zajištěn vybouráním oken a parapetního zdiva ze stávající chodby </w:t>
      </w:r>
      <w:proofErr w:type="gramStart"/>
      <w:r w:rsidRPr="00B02224">
        <w:rPr>
          <w:rFonts w:ascii="ISOCPEUR" w:hAnsi="ISOCPEUR" w:cs="Courier New"/>
          <w:color w:val="auto"/>
          <w:sz w:val="24"/>
          <w:szCs w:val="24"/>
        </w:rPr>
        <w:t xml:space="preserve">objektu </w:t>
      </w:r>
      <w:r w:rsidR="0068022D" w:rsidRPr="00B02224">
        <w:rPr>
          <w:rFonts w:ascii="ISOCPEUR" w:hAnsi="ISOCPEUR" w:cs="Courier New"/>
          <w:color w:val="auto"/>
          <w:sz w:val="24"/>
          <w:szCs w:val="24"/>
        </w:rPr>
        <w:t>- chodba</w:t>
      </w:r>
      <w:proofErr w:type="gramEnd"/>
      <w:r w:rsidR="0068022D" w:rsidRPr="00B02224">
        <w:rPr>
          <w:rFonts w:ascii="ISOCPEUR" w:hAnsi="ISOCPEUR" w:cs="Courier New"/>
          <w:color w:val="auto"/>
          <w:sz w:val="24"/>
          <w:szCs w:val="24"/>
        </w:rPr>
        <w:t xml:space="preserve"> bude tímto otevřená do zastřešené části atria. </w:t>
      </w:r>
      <w:r w:rsidR="00177EA6" w:rsidRPr="00B02224">
        <w:rPr>
          <w:rFonts w:ascii="ISOCPEUR" w:hAnsi="ISOCPEUR" w:cs="Courier New"/>
          <w:color w:val="auto"/>
          <w:sz w:val="24"/>
          <w:szCs w:val="24"/>
        </w:rPr>
        <w:t>Zastřešení objektu bude tvořeno sendvičovým panelem s izolačním souvrstvím a hydroizolačními asfaltovými pásy. K prosvětlení bude ve střešním plášti osazeny skleněné pásy při styku s obvodovým zdivem stávajícího objektu.</w:t>
      </w:r>
    </w:p>
    <w:p w14:paraId="1B9A1E11" w14:textId="77777777" w:rsidR="00177EA6" w:rsidRPr="00B02224" w:rsidRDefault="00F3500D" w:rsidP="00DA381E">
      <w:pPr>
        <w:pStyle w:val="499textodrazeny"/>
        <w:spacing w:line="276" w:lineRule="auto"/>
        <w:ind w:left="0"/>
        <w:jc w:val="both"/>
        <w:rPr>
          <w:rFonts w:ascii="ISOCPEUR" w:hAnsi="ISOCPEUR" w:cs="Courier New"/>
          <w:color w:val="auto"/>
          <w:sz w:val="24"/>
          <w:szCs w:val="24"/>
        </w:rPr>
      </w:pPr>
      <w:r w:rsidRPr="00B02224">
        <w:rPr>
          <w:rFonts w:ascii="ISOCPEUR" w:hAnsi="ISOCPEUR" w:cs="Courier New"/>
          <w:color w:val="auto"/>
          <w:sz w:val="24"/>
          <w:szCs w:val="24"/>
        </w:rPr>
        <w:t xml:space="preserve">Objekt bude větrán přirozeně </w:t>
      </w:r>
      <w:r w:rsidR="002C2A85" w:rsidRPr="00B02224">
        <w:rPr>
          <w:rFonts w:ascii="ISOCPEUR" w:hAnsi="ISOCPEUR" w:cs="Courier New"/>
          <w:color w:val="auto"/>
          <w:sz w:val="24"/>
          <w:szCs w:val="24"/>
        </w:rPr>
        <w:t>a dále též instalovaným vzduchotechnickým zařízením situovaným ve stávajícím garážovém prostoru pod řešenou částí stavby.</w:t>
      </w:r>
      <w:r w:rsidR="00DF5123" w:rsidRPr="00B02224">
        <w:rPr>
          <w:rFonts w:ascii="ISOCPEUR" w:hAnsi="ISOCPEUR" w:cs="Courier New"/>
          <w:color w:val="auto"/>
          <w:sz w:val="24"/>
          <w:szCs w:val="24"/>
        </w:rPr>
        <w:t xml:space="preserve"> Vytápění řešené části stavby bude zajištěno </w:t>
      </w:r>
      <w:proofErr w:type="gramStart"/>
      <w:r w:rsidR="00DF5123" w:rsidRPr="00B02224">
        <w:rPr>
          <w:rFonts w:ascii="ISOCPEUR" w:hAnsi="ISOCPEUR" w:cs="Courier New"/>
          <w:color w:val="auto"/>
          <w:sz w:val="24"/>
          <w:szCs w:val="24"/>
        </w:rPr>
        <w:t>teplovodně - úprava</w:t>
      </w:r>
      <w:proofErr w:type="gramEnd"/>
      <w:r w:rsidR="00DF5123" w:rsidRPr="00B02224">
        <w:rPr>
          <w:rFonts w:ascii="ISOCPEUR" w:hAnsi="ISOCPEUR" w:cs="Courier New"/>
          <w:color w:val="auto"/>
          <w:sz w:val="24"/>
          <w:szCs w:val="24"/>
        </w:rPr>
        <w:t xml:space="preserve"> stávajícího topného okruhu stavby, bez instalace nového zdroje vytápění. Elektroinstalace bude v řešené části zastřešeného atria bude řešeno napojením na stávající rozvod objektu, nové rozvody budou vedeny pod omítkou a též v systémových lištách a žlabech.</w:t>
      </w:r>
    </w:p>
    <w:p w14:paraId="1B9A1E12" w14:textId="77777777" w:rsidR="00845CC5" w:rsidRPr="00B02224" w:rsidRDefault="00845CC5" w:rsidP="009A7B66">
      <w:pPr>
        <w:pStyle w:val="Nadpis2"/>
        <w:rPr>
          <w:rFonts w:ascii="ISOCPEUR" w:hAnsi="ISOCPEUR"/>
        </w:rPr>
      </w:pPr>
      <w:bookmarkStart w:id="41" w:name="_Toc408180"/>
      <w:r w:rsidRPr="00B02224">
        <w:rPr>
          <w:rFonts w:ascii="ISOCPEUR" w:hAnsi="ISOCPEUR"/>
        </w:rPr>
        <w:t>Koncepce požárně bezpečnostního řešení</w:t>
      </w:r>
      <w:bookmarkEnd w:id="40"/>
      <w:bookmarkEnd w:id="41"/>
    </w:p>
    <w:p w14:paraId="1B9A1E13" w14:textId="77777777" w:rsidR="00364FB9" w:rsidRPr="00B02224" w:rsidRDefault="000B592B" w:rsidP="00364FB9">
      <w:pPr>
        <w:spacing w:before="120" w:line="276" w:lineRule="auto"/>
        <w:jc w:val="both"/>
        <w:rPr>
          <w:rFonts w:ascii="ISOCPEUR" w:hAnsi="ISOCPEUR" w:cs="Calibri"/>
        </w:rPr>
      </w:pPr>
      <w:r w:rsidRPr="00B02224">
        <w:rPr>
          <w:rFonts w:ascii="ISOCPEUR" w:hAnsi="ISOCPEUR" w:cs="Calibri"/>
        </w:rPr>
        <w:t>Navrhovaná zastřešení</w:t>
      </w:r>
      <w:r w:rsidR="00845CC5" w:rsidRPr="00B02224">
        <w:rPr>
          <w:rFonts w:ascii="ISOCPEUR" w:hAnsi="ISOCPEUR" w:cs="Calibri"/>
        </w:rPr>
        <w:t xml:space="preserve"> rozšiřuje stávající</w:t>
      </w:r>
      <w:r w:rsidR="00C26603" w:rsidRPr="00B02224">
        <w:rPr>
          <w:rFonts w:ascii="ISOCPEUR" w:hAnsi="ISOCPEUR" w:cs="Calibri"/>
        </w:rPr>
        <w:t xml:space="preserve"> prostor 2NP jihozápadního křídla objektu univerzity, v kontextu [P2]</w:t>
      </w:r>
      <w:r w:rsidR="002B5958" w:rsidRPr="00B02224">
        <w:rPr>
          <w:rFonts w:ascii="ISOCPEUR" w:hAnsi="ISOCPEUR" w:cs="Calibri"/>
        </w:rPr>
        <w:t xml:space="preserve"> se jedná o rozšíření stávajícího požárního úseku</w:t>
      </w:r>
      <w:r w:rsidR="00027B3B" w:rsidRPr="00B02224">
        <w:rPr>
          <w:rFonts w:ascii="ISOCPEUR" w:hAnsi="ISOCPEUR" w:cs="Calibri"/>
        </w:rPr>
        <w:t xml:space="preserve"> N2.03-III.</w:t>
      </w:r>
      <w:r w:rsidR="00FB6799" w:rsidRPr="00B02224">
        <w:rPr>
          <w:rFonts w:ascii="ISOCPEUR" w:hAnsi="ISOCPEUR" w:cs="Calibri"/>
        </w:rPr>
        <w:t xml:space="preserve"> </w:t>
      </w:r>
      <w:r w:rsidR="002257C4" w:rsidRPr="00B02224">
        <w:rPr>
          <w:rFonts w:ascii="ISOCPEUR" w:hAnsi="ISOCPEUR" w:cs="Calibri"/>
        </w:rPr>
        <w:t xml:space="preserve"> </w:t>
      </w:r>
      <w:r w:rsidR="009754B7" w:rsidRPr="00B02224">
        <w:rPr>
          <w:rFonts w:ascii="ISOCPEUR" w:hAnsi="ISOCPEUR" w:cs="Calibri"/>
        </w:rPr>
        <w:t xml:space="preserve">Rozšířený </w:t>
      </w:r>
      <w:r w:rsidR="00067624" w:rsidRPr="00B02224">
        <w:rPr>
          <w:rFonts w:ascii="ISOCPEUR" w:hAnsi="ISOCPEUR" w:cs="Calibri"/>
        </w:rPr>
        <w:t>požární úsek</w:t>
      </w:r>
      <w:r w:rsidR="009754B7" w:rsidRPr="00B02224">
        <w:rPr>
          <w:rFonts w:ascii="ISOCPEUR" w:hAnsi="ISOCPEUR" w:cs="Calibri"/>
        </w:rPr>
        <w:t xml:space="preserve"> bude posouzen</w:t>
      </w:r>
      <w:r w:rsidR="00067624" w:rsidRPr="00B02224">
        <w:rPr>
          <w:rFonts w:ascii="ISOCPEUR" w:hAnsi="ISOCPEUR" w:cs="Calibri"/>
        </w:rPr>
        <w:t xml:space="preserve"> v rozsahu ČSN 73 0802</w:t>
      </w:r>
      <w:r w:rsidR="00845CC5" w:rsidRPr="00B02224">
        <w:rPr>
          <w:rFonts w:ascii="ISOCPEUR" w:hAnsi="ISOCPEUR" w:cs="Calibri"/>
        </w:rPr>
        <w:t xml:space="preserve"> Požární bezpečnost </w:t>
      </w:r>
      <w:proofErr w:type="gramStart"/>
      <w:r w:rsidR="00845CC5" w:rsidRPr="00B02224">
        <w:rPr>
          <w:rFonts w:ascii="ISOCPEUR" w:hAnsi="ISOCPEUR" w:cs="Calibri"/>
        </w:rPr>
        <w:t xml:space="preserve">staveb - </w:t>
      </w:r>
      <w:r w:rsidR="00B63F06" w:rsidRPr="00B02224">
        <w:rPr>
          <w:rFonts w:ascii="ISOCPEUR" w:hAnsi="ISOCPEUR" w:cs="Calibri"/>
        </w:rPr>
        <w:t>Nevýrobní</w:t>
      </w:r>
      <w:proofErr w:type="gramEnd"/>
      <w:r w:rsidR="00B63F06" w:rsidRPr="00B02224">
        <w:rPr>
          <w:rFonts w:ascii="ISOCPEUR" w:hAnsi="ISOCPEUR" w:cs="Calibri"/>
        </w:rPr>
        <w:t xml:space="preserve"> objekty</w:t>
      </w:r>
      <w:r w:rsidR="009754B7" w:rsidRPr="00B02224">
        <w:rPr>
          <w:rFonts w:ascii="ISOCPEUR" w:hAnsi="ISOCPEUR" w:cs="Calibri"/>
        </w:rPr>
        <w:t>.</w:t>
      </w:r>
      <w:r w:rsidR="00B63F06" w:rsidRPr="00B02224">
        <w:rPr>
          <w:rFonts w:ascii="ISOCPEUR" w:hAnsi="ISOCPEUR" w:cs="Calibri"/>
        </w:rPr>
        <w:t xml:space="preserve"> Okenní otvory sousedního požárního úseku N2.06-III. </w:t>
      </w:r>
      <w:r w:rsidR="00180BE6" w:rsidRPr="00B02224">
        <w:rPr>
          <w:rFonts w:ascii="ISOCPEUR" w:hAnsi="ISOCPEUR" w:cs="Calibri"/>
        </w:rPr>
        <w:t xml:space="preserve">budou doplněny o </w:t>
      </w:r>
      <w:r w:rsidR="00180BE6" w:rsidRPr="00B02224">
        <w:rPr>
          <w:rFonts w:ascii="ISOCPEUR" w:hAnsi="ISOCPEUR" w:cs="Calibri"/>
        </w:rPr>
        <w:lastRenderedPageBreak/>
        <w:t>požárně odolnou roletu, která bude aktivována v případě požáru signálem EPS</w:t>
      </w:r>
      <w:r w:rsidR="00364FB9" w:rsidRPr="00B02224">
        <w:rPr>
          <w:rFonts w:ascii="ISOCPEUR" w:hAnsi="ISOCPEUR" w:cs="Calibri"/>
        </w:rPr>
        <w:t xml:space="preserve">. Sousední požární úseky jsou celé kryty systémem EPS, který bude rozšířen též do nově navrhovaného zastřešení </w:t>
      </w:r>
      <w:r w:rsidR="00B02224">
        <w:rPr>
          <w:rFonts w:ascii="ISOCPEUR" w:hAnsi="ISOCPEUR" w:cs="Calibri"/>
        </w:rPr>
        <w:t>a</w:t>
      </w:r>
      <w:r w:rsidR="00364FB9" w:rsidRPr="00B02224">
        <w:rPr>
          <w:rFonts w:ascii="ISOCPEUR" w:hAnsi="ISOCPEUR" w:cs="Calibri"/>
        </w:rPr>
        <w:t>tria.</w:t>
      </w:r>
      <w:r w:rsidR="00180BE6" w:rsidRPr="00B02224">
        <w:rPr>
          <w:rFonts w:ascii="ISOCPEUR" w:hAnsi="ISOCPEUR" w:cs="Calibri"/>
        </w:rPr>
        <w:t xml:space="preserve"> </w:t>
      </w:r>
      <w:r w:rsidR="00B63F06" w:rsidRPr="00B02224">
        <w:rPr>
          <w:rFonts w:ascii="ISOCPEUR" w:hAnsi="ISOCPEUR" w:cs="Calibri"/>
        </w:rPr>
        <w:t xml:space="preserve"> </w:t>
      </w:r>
      <w:r w:rsidR="00845CC5" w:rsidRPr="00B02224">
        <w:rPr>
          <w:rFonts w:ascii="ISOCPEUR" w:hAnsi="ISOCPEUR" w:cs="Calibri"/>
        </w:rPr>
        <w:t xml:space="preserve"> </w:t>
      </w:r>
      <w:bookmarkStart w:id="42" w:name="_Toc389455968"/>
    </w:p>
    <w:p w14:paraId="1B9A1E14" w14:textId="77777777" w:rsidR="00845CC5" w:rsidRPr="000B347F" w:rsidRDefault="00845CC5" w:rsidP="00364FB9">
      <w:pPr>
        <w:pStyle w:val="Nadpis2"/>
        <w:rPr>
          <w:rFonts w:ascii="ISOCPEUR" w:hAnsi="ISOCPEUR"/>
        </w:rPr>
      </w:pPr>
      <w:bookmarkStart w:id="43" w:name="_Toc408181"/>
      <w:r w:rsidRPr="000B347F">
        <w:rPr>
          <w:rFonts w:ascii="ISOCPEUR" w:hAnsi="ISOCPEUR"/>
        </w:rPr>
        <w:t>Rozdělení stavby do požárních úseků</w:t>
      </w:r>
      <w:bookmarkEnd w:id="42"/>
      <w:bookmarkEnd w:id="43"/>
    </w:p>
    <w:p w14:paraId="1B9A1E15" w14:textId="77777777" w:rsidR="00845CC5" w:rsidRPr="000B347F" w:rsidRDefault="00B02224" w:rsidP="00845CC5">
      <w:pPr>
        <w:pStyle w:val="Textnormln"/>
        <w:spacing w:before="120" w:line="276" w:lineRule="auto"/>
        <w:rPr>
          <w:rFonts w:ascii="ISOCPEUR" w:hAnsi="ISOCPEUR" w:cs="Calibri"/>
        </w:rPr>
      </w:pPr>
      <w:r w:rsidRPr="000B347F">
        <w:rPr>
          <w:rFonts w:ascii="ISOCPEUR" w:hAnsi="ISOCPEUR" w:cs="Calibri"/>
        </w:rPr>
        <w:t>Stávající požární úsek jihozápadního křídla N2.03-III.</w:t>
      </w:r>
      <w:r w:rsidR="00A37FB1">
        <w:rPr>
          <w:rFonts w:ascii="ISOCPEUR" w:hAnsi="ISOCPEUR" w:cs="Calibri"/>
        </w:rPr>
        <w:t xml:space="preserve"> Učeny,</w:t>
      </w:r>
      <w:r w:rsidRPr="000B347F">
        <w:rPr>
          <w:rFonts w:ascii="ISOCPEUR" w:hAnsi="ISOCPEUR" w:cs="Calibri"/>
        </w:rPr>
        <w:t xml:space="preserve"> </w:t>
      </w:r>
      <w:r w:rsidR="000778BA" w:rsidRPr="000B347F">
        <w:rPr>
          <w:rFonts w:ascii="ISOCPEUR" w:hAnsi="ISOCPEUR" w:cs="Calibri"/>
        </w:rPr>
        <w:t>bude rozšířen o zastřešené atrium.</w:t>
      </w:r>
    </w:p>
    <w:p w14:paraId="1B9A1E16" w14:textId="77777777" w:rsidR="00845CC5" w:rsidRPr="00D83F9E" w:rsidRDefault="00845CC5" w:rsidP="008158B9">
      <w:pPr>
        <w:pStyle w:val="Nadpis1"/>
        <w:rPr>
          <w:rFonts w:ascii="ISOCPEUR" w:hAnsi="ISOCPEUR"/>
        </w:rPr>
      </w:pPr>
      <w:bookmarkStart w:id="44" w:name="_Toc408182"/>
      <w:bookmarkStart w:id="45" w:name="_Toc264976048"/>
      <w:bookmarkStart w:id="46" w:name="_Toc297465450"/>
      <w:r w:rsidRPr="00D83F9E">
        <w:rPr>
          <w:rFonts w:ascii="ISOCPEUR" w:hAnsi="ISOCPEUR"/>
        </w:rPr>
        <w:t>Stanovení požárního rizika, popř. ekonomického rizika, stanovení stupně požární bezpečnosti a posouzení velikosti požárních úseků</w:t>
      </w:r>
      <w:bookmarkEnd w:id="44"/>
      <w:r w:rsidRPr="00D83F9E">
        <w:rPr>
          <w:rFonts w:ascii="ISOCPEUR" w:hAnsi="ISOCPEUR"/>
        </w:rPr>
        <w:t xml:space="preserve"> </w:t>
      </w:r>
    </w:p>
    <w:p w14:paraId="1B9A1E17" w14:textId="77777777" w:rsidR="008158B9" w:rsidRPr="00D83F9E" w:rsidRDefault="008158B9" w:rsidP="00822878">
      <w:pPr>
        <w:pStyle w:val="Nadpis2"/>
        <w:tabs>
          <w:tab w:val="clear" w:pos="1711"/>
          <w:tab w:val="num" w:pos="567"/>
        </w:tabs>
        <w:ind w:left="567"/>
        <w:rPr>
          <w:rFonts w:ascii="ISOCPEUR" w:hAnsi="ISOCPEUR"/>
        </w:rPr>
      </w:pPr>
      <w:bookmarkStart w:id="47" w:name="_Toc408183"/>
      <w:r w:rsidRPr="00D83F9E">
        <w:rPr>
          <w:rFonts w:ascii="ISOCPEUR" w:hAnsi="ISOCPEUR"/>
        </w:rPr>
        <w:t>Požární riziko</w:t>
      </w:r>
      <w:bookmarkEnd w:id="47"/>
    </w:p>
    <w:p w14:paraId="1B9A1E18" w14:textId="77777777" w:rsidR="00845CC5" w:rsidRPr="00D83F9E" w:rsidRDefault="00845CC5" w:rsidP="00845CC5">
      <w:pPr>
        <w:tabs>
          <w:tab w:val="left" w:pos="5812"/>
          <w:tab w:val="left" w:pos="8080"/>
        </w:tabs>
        <w:spacing w:before="120" w:line="276" w:lineRule="auto"/>
        <w:jc w:val="both"/>
        <w:rPr>
          <w:rFonts w:ascii="ISOCPEUR" w:hAnsi="ISOCPEUR" w:cs="Calibri"/>
          <w:b/>
        </w:rPr>
      </w:pPr>
      <w:r w:rsidRPr="00D83F9E">
        <w:rPr>
          <w:rFonts w:ascii="ISOCPEUR" w:hAnsi="ISOCPEUR" w:cs="Calibri"/>
        </w:rPr>
        <w:t xml:space="preserve">- </w:t>
      </w:r>
      <w:r w:rsidR="002D30FE" w:rsidRPr="00D83F9E">
        <w:rPr>
          <w:rFonts w:ascii="ISOCPEUR" w:hAnsi="ISOCPEUR" w:cs="Calibri"/>
        </w:rPr>
        <w:t xml:space="preserve">zastřešení </w:t>
      </w:r>
      <w:proofErr w:type="spellStart"/>
      <w:r w:rsidR="002D30FE" w:rsidRPr="00D83F9E">
        <w:rPr>
          <w:rFonts w:ascii="ISOCPEUR" w:hAnsi="ISOCPEUR" w:cs="Calibri"/>
        </w:rPr>
        <w:t>átria</w:t>
      </w:r>
      <w:proofErr w:type="spellEnd"/>
      <w:r w:rsidR="002D30FE" w:rsidRPr="00D83F9E">
        <w:rPr>
          <w:rFonts w:ascii="ISOCPEUR" w:hAnsi="ISOCPEUR" w:cs="Calibri"/>
        </w:rPr>
        <w:t xml:space="preserve"> </w:t>
      </w:r>
      <w:proofErr w:type="spellStart"/>
      <w:r w:rsidR="002D30FE" w:rsidRPr="00D83F9E">
        <w:rPr>
          <w:rFonts w:ascii="ISOCPEUR" w:hAnsi="ISOCPEUR" w:cs="Calibri"/>
        </w:rPr>
        <w:t>p</w:t>
      </w:r>
      <w:r w:rsidR="002D30FE" w:rsidRPr="00D83F9E">
        <w:rPr>
          <w:rFonts w:ascii="ISOCPEUR" w:hAnsi="ISOCPEUR" w:cs="Calibri"/>
          <w:vertAlign w:val="subscript"/>
        </w:rPr>
        <w:t>v</w:t>
      </w:r>
      <w:proofErr w:type="spellEnd"/>
      <w:r w:rsidRPr="00D83F9E">
        <w:rPr>
          <w:rFonts w:ascii="ISOCPEUR" w:hAnsi="ISOCPEUR" w:cs="Calibri"/>
          <w:b/>
          <w:vertAlign w:val="subscript"/>
        </w:rPr>
        <w:t xml:space="preserve"> </w:t>
      </w:r>
      <w:r w:rsidRPr="00D83F9E">
        <w:rPr>
          <w:rFonts w:ascii="ISOCPEUR" w:hAnsi="ISOCPEUR" w:cs="Calibri"/>
          <w:b/>
        </w:rPr>
        <w:t xml:space="preserve">= </w:t>
      </w:r>
      <w:r w:rsidR="002F64A5" w:rsidRPr="00D83F9E">
        <w:rPr>
          <w:rFonts w:ascii="ISOCPEUR" w:hAnsi="ISOCPEUR" w:cs="Calibri"/>
          <w:b/>
        </w:rPr>
        <w:t>3</w:t>
      </w:r>
      <w:r w:rsidR="007B0007">
        <w:rPr>
          <w:rFonts w:ascii="ISOCPEUR" w:hAnsi="ISOCPEUR" w:cs="Calibri"/>
          <w:b/>
        </w:rPr>
        <w:t>4</w:t>
      </w:r>
      <w:r w:rsidR="002F64A5" w:rsidRPr="00D83F9E">
        <w:rPr>
          <w:rFonts w:ascii="ISOCPEUR" w:hAnsi="ISOCPEUR" w:cs="Calibri"/>
          <w:b/>
        </w:rPr>
        <w:t>.</w:t>
      </w:r>
      <w:r w:rsidR="007B0007">
        <w:rPr>
          <w:rFonts w:ascii="ISOCPEUR" w:hAnsi="ISOCPEUR" w:cs="Calibri"/>
          <w:b/>
        </w:rPr>
        <w:t>80</w:t>
      </w:r>
      <w:r w:rsidR="002F64A5" w:rsidRPr="00D83F9E">
        <w:rPr>
          <w:rFonts w:ascii="ISOCPEUR" w:hAnsi="ISOCPEUR" w:cs="Calibri"/>
          <w:b/>
        </w:rPr>
        <w:t xml:space="preserve"> kg/m</w:t>
      </w:r>
      <w:r w:rsidR="002F64A5" w:rsidRPr="00D83F9E">
        <w:rPr>
          <w:rFonts w:ascii="ISOCPEUR" w:hAnsi="ISOCPEUR" w:cs="Calibri"/>
          <w:b/>
          <w:vertAlign w:val="superscript"/>
        </w:rPr>
        <w:t>2</w:t>
      </w:r>
      <w:r w:rsidR="00D600FD" w:rsidRPr="00D83F9E">
        <w:rPr>
          <w:rFonts w:ascii="ISOCPEUR" w:hAnsi="ISOCPEUR" w:cs="Calibri"/>
          <w:b/>
        </w:rPr>
        <w:t xml:space="preserve"> </w:t>
      </w:r>
      <w:r w:rsidR="002D30FE" w:rsidRPr="00D83F9E">
        <w:rPr>
          <w:rFonts w:ascii="ISOCPEUR" w:hAnsi="ISOCPEUR" w:cs="Calibri"/>
        </w:rPr>
        <w:t>(</w:t>
      </w:r>
      <w:r w:rsidR="007B0007">
        <w:rPr>
          <w:rFonts w:ascii="ISOCPEUR" w:hAnsi="ISOCPEUR" w:cs="Calibri"/>
        </w:rPr>
        <w:t>rozšířený PÚ - viz. příloha č. 1</w:t>
      </w:r>
      <w:r w:rsidR="00DA1BA6" w:rsidRPr="00D83F9E">
        <w:rPr>
          <w:rFonts w:ascii="ISOCPEUR" w:hAnsi="ISOCPEUR" w:cs="Calibri"/>
        </w:rPr>
        <w:t>)</w:t>
      </w:r>
      <w:r w:rsidRPr="00D83F9E">
        <w:rPr>
          <w:rFonts w:ascii="ISOCPEUR" w:hAnsi="ISOCPEUR" w:cs="Calibri"/>
          <w:b/>
        </w:rPr>
        <w:t>.</w:t>
      </w:r>
    </w:p>
    <w:p w14:paraId="1B9A1E19" w14:textId="77777777" w:rsidR="008158B9" w:rsidRPr="00D83F9E" w:rsidRDefault="00845CC5" w:rsidP="00822878">
      <w:pPr>
        <w:pStyle w:val="Nadpis2"/>
        <w:tabs>
          <w:tab w:val="clear" w:pos="1711"/>
          <w:tab w:val="num" w:pos="284"/>
        </w:tabs>
        <w:ind w:left="567"/>
        <w:rPr>
          <w:rFonts w:ascii="ISOCPEUR" w:hAnsi="ISOCPEUR"/>
        </w:rPr>
      </w:pPr>
      <w:bookmarkStart w:id="48" w:name="_Toc376696923"/>
      <w:bookmarkStart w:id="49" w:name="_Toc389455970"/>
      <w:bookmarkStart w:id="50" w:name="_Toc408184"/>
      <w:r w:rsidRPr="00D83F9E">
        <w:rPr>
          <w:rFonts w:ascii="ISOCPEUR" w:hAnsi="ISOCPEUR"/>
        </w:rPr>
        <w:t>Stanovení stupně požární bezpečnosti</w:t>
      </w:r>
      <w:bookmarkEnd w:id="48"/>
      <w:bookmarkEnd w:id="49"/>
      <w:bookmarkEnd w:id="50"/>
      <w:r w:rsidRPr="00D83F9E">
        <w:rPr>
          <w:rFonts w:ascii="ISOCPEUR" w:hAnsi="ISOCPEUR"/>
        </w:rPr>
        <w:t xml:space="preserve">  </w:t>
      </w:r>
    </w:p>
    <w:p w14:paraId="1B9A1E1A" w14:textId="77777777" w:rsidR="00845CC5" w:rsidRPr="00D83F9E" w:rsidRDefault="008158B9" w:rsidP="008158B9">
      <w:pPr>
        <w:tabs>
          <w:tab w:val="left" w:pos="5812"/>
          <w:tab w:val="left" w:pos="8080"/>
        </w:tabs>
        <w:spacing w:before="120" w:line="276" w:lineRule="auto"/>
        <w:jc w:val="both"/>
        <w:rPr>
          <w:rFonts w:ascii="ISOCPEUR" w:hAnsi="ISOCPEUR" w:cs="Calibri"/>
        </w:rPr>
      </w:pPr>
      <w:r w:rsidRPr="00D83F9E">
        <w:rPr>
          <w:rFonts w:ascii="ISOCPEUR" w:hAnsi="ISOCPEUR" w:cs="Calibri"/>
        </w:rPr>
        <w:t xml:space="preserve">Rozšířený požární úsek je nadále zařazen do </w:t>
      </w:r>
      <w:r w:rsidR="00845CC5" w:rsidRPr="00D83F9E">
        <w:rPr>
          <w:rFonts w:ascii="ISOCPEUR" w:hAnsi="ISOCPEUR" w:cs="Calibri"/>
        </w:rPr>
        <w:t>I</w:t>
      </w:r>
      <w:r w:rsidR="00D83F9E" w:rsidRPr="00D83F9E">
        <w:rPr>
          <w:rFonts w:ascii="ISOCPEUR" w:hAnsi="ISOCPEUR" w:cs="Calibri"/>
        </w:rPr>
        <w:t>II</w:t>
      </w:r>
      <w:r w:rsidR="00845CC5" w:rsidRPr="00D83F9E">
        <w:rPr>
          <w:rFonts w:ascii="ISOCPEUR" w:hAnsi="ISOCPEUR" w:cs="Calibri"/>
        </w:rPr>
        <w:t>.SPB</w:t>
      </w:r>
      <w:r w:rsidR="00D83F9E" w:rsidRPr="00D83F9E">
        <w:rPr>
          <w:rFonts w:ascii="ISOCPEUR" w:hAnsi="ISOCPEUR" w:cs="Calibri"/>
        </w:rPr>
        <w:t xml:space="preserve"> (stávající PÚ</w:t>
      </w:r>
      <w:r w:rsidR="0082513D" w:rsidRPr="00D83F9E">
        <w:rPr>
          <w:rFonts w:ascii="ISOCPEUR" w:hAnsi="ISOCPEUR" w:cs="Calibri"/>
        </w:rPr>
        <w:t xml:space="preserve"> bez </w:t>
      </w:r>
      <w:r w:rsidR="00D83F9E" w:rsidRPr="00D83F9E">
        <w:rPr>
          <w:rFonts w:ascii="ISOCPEUR" w:hAnsi="ISOCPEUR" w:cs="Calibri"/>
        </w:rPr>
        <w:t>rozšíření</w:t>
      </w:r>
      <w:r w:rsidR="0082513D" w:rsidRPr="00D83F9E">
        <w:rPr>
          <w:rFonts w:ascii="ISOCPEUR" w:hAnsi="ISOCPEUR" w:cs="Calibri"/>
        </w:rPr>
        <w:t xml:space="preserve"> rovněž </w:t>
      </w:r>
      <w:r w:rsidR="00D83F9E" w:rsidRPr="00D83F9E">
        <w:rPr>
          <w:rFonts w:ascii="ISOCPEUR" w:hAnsi="ISOCPEUR" w:cs="Calibri"/>
        </w:rPr>
        <w:t>II</w:t>
      </w:r>
      <w:r w:rsidR="0082513D" w:rsidRPr="00D83F9E">
        <w:rPr>
          <w:rFonts w:ascii="ISOCPEUR" w:hAnsi="ISOCPEUR" w:cs="Calibri"/>
        </w:rPr>
        <w:t>I. SPB)</w:t>
      </w:r>
      <w:r w:rsidR="0082513D" w:rsidRPr="00D83F9E">
        <w:rPr>
          <w:rFonts w:ascii="ISOCPEUR" w:hAnsi="ISOCPEUR" w:cs="Calibri"/>
          <w:b/>
        </w:rPr>
        <w:t>.</w:t>
      </w:r>
    </w:p>
    <w:p w14:paraId="1B9A1E1B" w14:textId="77777777" w:rsidR="00845CC5" w:rsidRPr="001A7066" w:rsidRDefault="00845CC5" w:rsidP="008158B9">
      <w:pPr>
        <w:pStyle w:val="Nadpis1"/>
        <w:rPr>
          <w:rFonts w:ascii="ISOCPEUR" w:hAnsi="ISOCPEUR"/>
        </w:rPr>
      </w:pPr>
      <w:bookmarkStart w:id="51" w:name="_Toc357258434"/>
      <w:bookmarkStart w:id="52" w:name="_Toc376696924"/>
      <w:bookmarkStart w:id="53" w:name="_Toc389455971"/>
      <w:bookmarkStart w:id="54" w:name="_Toc408185"/>
      <w:r w:rsidRPr="001A7066">
        <w:rPr>
          <w:rFonts w:ascii="ISOCPEUR" w:hAnsi="ISOCPEUR"/>
        </w:rPr>
        <w:t>Mezní rozměry požárních úseků</w:t>
      </w:r>
      <w:bookmarkEnd w:id="51"/>
      <w:bookmarkEnd w:id="52"/>
      <w:bookmarkEnd w:id="53"/>
      <w:bookmarkEnd w:id="54"/>
    </w:p>
    <w:p w14:paraId="1B9A1E1C" w14:textId="77777777" w:rsidR="00845CC5" w:rsidRPr="007A7E96" w:rsidRDefault="00845CC5" w:rsidP="00845CC5">
      <w:pPr>
        <w:tabs>
          <w:tab w:val="left" w:pos="1620"/>
          <w:tab w:val="left" w:pos="1800"/>
          <w:tab w:val="left" w:pos="1980"/>
          <w:tab w:val="left" w:pos="6663"/>
        </w:tabs>
        <w:spacing w:before="120" w:after="120" w:line="276" w:lineRule="auto"/>
        <w:jc w:val="both"/>
        <w:rPr>
          <w:rFonts w:ascii="ISOCPEUR" w:hAnsi="ISOCPEUR" w:cs="Calibri"/>
          <w:bCs/>
        </w:rPr>
      </w:pPr>
      <w:r w:rsidRPr="007A7E96">
        <w:rPr>
          <w:rFonts w:ascii="ISOCPEUR" w:hAnsi="ISOCPEUR" w:cs="Calibri"/>
          <w:bCs/>
        </w:rPr>
        <w:t>Mezní rozměry požárních úseků vyhoví:</w:t>
      </w:r>
    </w:p>
    <w:tbl>
      <w:tblPr>
        <w:tblStyle w:val="Mkatabulky"/>
        <w:tblW w:w="8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5"/>
        <w:gridCol w:w="3676"/>
        <w:gridCol w:w="1535"/>
        <w:gridCol w:w="1535"/>
      </w:tblGrid>
      <w:tr w:rsidR="004614DA" w:rsidRPr="007A7E96" w14:paraId="1B9A1E21" w14:textId="77777777" w:rsidTr="0033285C">
        <w:tc>
          <w:tcPr>
            <w:tcW w:w="1535" w:type="dxa"/>
          </w:tcPr>
          <w:p w14:paraId="1B9A1E1D" w14:textId="77777777" w:rsidR="004614DA" w:rsidRPr="007A7E96" w:rsidRDefault="004614DA" w:rsidP="00950F8C">
            <w:pPr>
              <w:pStyle w:val="Zkladntext2"/>
              <w:spacing w:line="276" w:lineRule="auto"/>
              <w:ind w:left="34"/>
              <w:rPr>
                <w:rFonts w:ascii="ISOCPEUR" w:hAnsi="ISOCPEUR" w:cs="Calibri"/>
                <w:b/>
                <w:i/>
                <w:iCs/>
              </w:rPr>
            </w:pPr>
            <w:r w:rsidRPr="007A7E96">
              <w:rPr>
                <w:rFonts w:ascii="ISOCPEUR" w:hAnsi="ISOCPEUR" w:cs="Calibri"/>
                <w:b/>
                <w:i/>
                <w:iCs/>
              </w:rPr>
              <w:t>PÚ</w:t>
            </w:r>
          </w:p>
        </w:tc>
        <w:tc>
          <w:tcPr>
            <w:tcW w:w="3676" w:type="dxa"/>
          </w:tcPr>
          <w:p w14:paraId="1B9A1E1E" w14:textId="77777777" w:rsidR="004614DA" w:rsidRPr="007A7E96" w:rsidRDefault="004614DA" w:rsidP="00845CC5">
            <w:pPr>
              <w:tabs>
                <w:tab w:val="left" w:pos="1620"/>
                <w:tab w:val="left" w:pos="1800"/>
                <w:tab w:val="left" w:pos="1980"/>
                <w:tab w:val="left" w:pos="6663"/>
              </w:tabs>
              <w:spacing w:before="120" w:after="120" w:line="276" w:lineRule="auto"/>
              <w:jc w:val="both"/>
              <w:rPr>
                <w:rFonts w:ascii="ISOCPEUR" w:hAnsi="ISOCPEUR" w:cs="Calibri"/>
                <w:b/>
                <w:bCs/>
                <w:vertAlign w:val="subscript"/>
              </w:rPr>
            </w:pPr>
            <w:proofErr w:type="spellStart"/>
            <w:r w:rsidRPr="007A7E96">
              <w:rPr>
                <w:rFonts w:ascii="ISOCPEUR" w:hAnsi="ISOCPEUR" w:cs="Calibri"/>
                <w:b/>
                <w:bCs/>
              </w:rPr>
              <w:t>S</w:t>
            </w:r>
            <w:r w:rsidRPr="007A7E96">
              <w:rPr>
                <w:rFonts w:ascii="ISOCPEUR" w:hAnsi="ISOCPEUR" w:cs="Calibri"/>
                <w:b/>
                <w:bCs/>
                <w:vertAlign w:val="subscript"/>
              </w:rPr>
              <w:t>skutečná</w:t>
            </w:r>
            <w:proofErr w:type="spellEnd"/>
            <w:r w:rsidRPr="007A7E96">
              <w:rPr>
                <w:rFonts w:ascii="ISOCPEUR" w:hAnsi="ISOCPEUR" w:cs="Calibri"/>
                <w:b/>
                <w:bCs/>
                <w:vertAlign w:val="subscript"/>
              </w:rPr>
              <w:t xml:space="preserve"> </w:t>
            </w:r>
            <w:r w:rsidRPr="007A7E96">
              <w:rPr>
                <w:rFonts w:ascii="ISOCPEUR" w:hAnsi="ISOCPEUR" w:cs="Calibri"/>
                <w:b/>
                <w:i/>
                <w:iCs/>
              </w:rPr>
              <w:t>[m</w:t>
            </w:r>
            <w:r w:rsidRPr="007A7E96">
              <w:rPr>
                <w:rFonts w:ascii="ISOCPEUR" w:hAnsi="ISOCPEUR" w:cs="Calibri"/>
                <w:b/>
                <w:i/>
                <w:iCs/>
                <w:vertAlign w:val="superscript"/>
              </w:rPr>
              <w:t>2</w:t>
            </w:r>
            <w:r w:rsidRPr="007A7E96">
              <w:rPr>
                <w:rFonts w:ascii="ISOCPEUR" w:hAnsi="ISOCPEUR" w:cs="Calibri"/>
                <w:b/>
                <w:i/>
                <w:iCs/>
              </w:rPr>
              <w:t>]</w:t>
            </w:r>
          </w:p>
        </w:tc>
        <w:tc>
          <w:tcPr>
            <w:tcW w:w="1535" w:type="dxa"/>
          </w:tcPr>
          <w:p w14:paraId="1B9A1E1F" w14:textId="77777777" w:rsidR="004614DA" w:rsidRPr="007A7E96" w:rsidRDefault="004614DA" w:rsidP="004614DA">
            <w:pPr>
              <w:tabs>
                <w:tab w:val="left" w:pos="1620"/>
                <w:tab w:val="left" w:pos="1800"/>
                <w:tab w:val="left" w:pos="1980"/>
                <w:tab w:val="left" w:pos="6663"/>
              </w:tabs>
              <w:spacing w:before="120" w:after="120" w:line="276" w:lineRule="auto"/>
              <w:jc w:val="both"/>
              <w:rPr>
                <w:rFonts w:ascii="ISOCPEUR" w:hAnsi="ISOCPEUR" w:cs="Calibri"/>
                <w:b/>
                <w:bCs/>
              </w:rPr>
            </w:pPr>
            <w:proofErr w:type="spellStart"/>
            <w:r w:rsidRPr="007A7E96">
              <w:rPr>
                <w:rFonts w:ascii="ISOCPEUR" w:hAnsi="ISOCPEUR" w:cs="Calibri"/>
                <w:b/>
                <w:bCs/>
              </w:rPr>
              <w:t>S</w:t>
            </w:r>
            <w:r w:rsidRPr="007A7E96">
              <w:rPr>
                <w:rFonts w:ascii="ISOCPEUR" w:hAnsi="ISOCPEUR" w:cs="Calibri"/>
                <w:b/>
                <w:bCs/>
                <w:vertAlign w:val="subscript"/>
              </w:rPr>
              <w:t>max</w:t>
            </w:r>
            <w:proofErr w:type="spellEnd"/>
            <w:r w:rsidRPr="007A7E96">
              <w:rPr>
                <w:rFonts w:ascii="ISOCPEUR" w:hAnsi="ISOCPEUR" w:cs="Calibri"/>
                <w:b/>
                <w:bCs/>
                <w:vertAlign w:val="subscript"/>
              </w:rPr>
              <w:t xml:space="preserve"> </w:t>
            </w:r>
            <w:r w:rsidRPr="007A7E96">
              <w:rPr>
                <w:rFonts w:ascii="ISOCPEUR" w:hAnsi="ISOCPEUR" w:cs="Calibri"/>
                <w:b/>
                <w:i/>
                <w:iCs/>
              </w:rPr>
              <w:t>[m</w:t>
            </w:r>
            <w:r w:rsidRPr="007A7E96">
              <w:rPr>
                <w:rFonts w:ascii="ISOCPEUR" w:hAnsi="ISOCPEUR" w:cs="Calibri"/>
                <w:b/>
                <w:i/>
                <w:iCs/>
                <w:vertAlign w:val="superscript"/>
              </w:rPr>
              <w:t>2</w:t>
            </w:r>
            <w:r w:rsidRPr="007A7E96">
              <w:rPr>
                <w:rFonts w:ascii="ISOCPEUR" w:hAnsi="ISOCPEUR" w:cs="Calibri"/>
                <w:b/>
                <w:i/>
                <w:iCs/>
              </w:rPr>
              <w:t>]</w:t>
            </w:r>
          </w:p>
        </w:tc>
        <w:tc>
          <w:tcPr>
            <w:tcW w:w="1535" w:type="dxa"/>
          </w:tcPr>
          <w:p w14:paraId="1B9A1E20" w14:textId="77777777" w:rsidR="004614DA" w:rsidRPr="007A7E96" w:rsidRDefault="004614DA" w:rsidP="00845CC5">
            <w:pPr>
              <w:tabs>
                <w:tab w:val="left" w:pos="1620"/>
                <w:tab w:val="left" w:pos="1800"/>
                <w:tab w:val="left" w:pos="1980"/>
                <w:tab w:val="left" w:pos="6663"/>
              </w:tabs>
              <w:spacing w:before="120" w:after="120" w:line="276" w:lineRule="auto"/>
              <w:jc w:val="both"/>
              <w:rPr>
                <w:rFonts w:ascii="ISOCPEUR" w:hAnsi="ISOCPEUR" w:cs="Calibri"/>
                <w:b/>
                <w:bCs/>
              </w:rPr>
            </w:pPr>
            <w:r w:rsidRPr="007A7E96">
              <w:rPr>
                <w:rFonts w:ascii="ISOCPEUR" w:hAnsi="ISOCPEUR" w:cs="Calibri"/>
                <w:b/>
                <w:bCs/>
              </w:rPr>
              <w:t>Vyhodnocení</w:t>
            </w:r>
          </w:p>
        </w:tc>
      </w:tr>
      <w:tr w:rsidR="004614DA" w:rsidRPr="007A7E96" w14:paraId="1B9A1E26" w14:textId="77777777" w:rsidTr="0033285C">
        <w:tc>
          <w:tcPr>
            <w:tcW w:w="1535" w:type="dxa"/>
          </w:tcPr>
          <w:p w14:paraId="1B9A1E22" w14:textId="77777777" w:rsidR="004614DA" w:rsidRPr="007A7E96" w:rsidRDefault="004614DA" w:rsidP="00950F8C">
            <w:pPr>
              <w:pStyle w:val="Zkladntext2"/>
              <w:spacing w:line="276" w:lineRule="auto"/>
              <w:ind w:left="34"/>
              <w:rPr>
                <w:rFonts w:ascii="ISOCPEUR" w:hAnsi="ISOCPEUR" w:cs="Calibri"/>
                <w:i/>
                <w:iCs/>
              </w:rPr>
            </w:pPr>
            <w:r w:rsidRPr="007A7E96">
              <w:rPr>
                <w:rFonts w:ascii="ISOCPEUR" w:hAnsi="ISOCPEUR" w:cs="Calibri"/>
              </w:rPr>
              <w:t>N 1.1</w:t>
            </w:r>
          </w:p>
        </w:tc>
        <w:tc>
          <w:tcPr>
            <w:tcW w:w="3676" w:type="dxa"/>
          </w:tcPr>
          <w:p w14:paraId="1B9A1E23" w14:textId="03CE27F8" w:rsidR="004614DA" w:rsidRPr="007A7E96" w:rsidRDefault="001A7066" w:rsidP="00845CC5">
            <w:pPr>
              <w:tabs>
                <w:tab w:val="left" w:pos="1620"/>
                <w:tab w:val="left" w:pos="1800"/>
                <w:tab w:val="left" w:pos="1980"/>
                <w:tab w:val="left" w:pos="6663"/>
              </w:tabs>
              <w:spacing w:before="120" w:after="120" w:line="276" w:lineRule="auto"/>
              <w:jc w:val="both"/>
              <w:rPr>
                <w:rFonts w:ascii="ISOCPEUR" w:hAnsi="ISOCPEUR" w:cs="Calibri"/>
                <w:bCs/>
              </w:rPr>
            </w:pPr>
            <w:r w:rsidRPr="007A7E96">
              <w:rPr>
                <w:rFonts w:ascii="ISOCPEUR" w:hAnsi="ISOCPEUR" w:cs="Calibri"/>
                <w:bCs/>
              </w:rPr>
              <w:t>511,61+</w:t>
            </w:r>
            <w:r w:rsidR="0033285C">
              <w:rPr>
                <w:rFonts w:ascii="ISOCPEUR" w:hAnsi="ISOCPEUR" w:cs="Calibri"/>
                <w:bCs/>
              </w:rPr>
              <w:t xml:space="preserve"> </w:t>
            </w:r>
            <w:r w:rsidR="0033285C" w:rsidRPr="0033285C">
              <w:rPr>
                <w:rFonts w:ascii="ISOCPEUR" w:hAnsi="ISOCPEUR" w:cs="Calibri"/>
                <w:bCs/>
                <w:color w:val="FF0000"/>
              </w:rPr>
              <w:t>133,15</w:t>
            </w:r>
            <w:r w:rsidR="0033285C">
              <w:rPr>
                <w:rFonts w:ascii="ISOCPEUR" w:hAnsi="ISOCPEUR" w:cs="Calibri"/>
                <w:bCs/>
              </w:rPr>
              <w:t xml:space="preserve"> (původně </w:t>
            </w:r>
            <w:r w:rsidRPr="007A7E96">
              <w:rPr>
                <w:rFonts w:ascii="ISOCPEUR" w:hAnsi="ISOCPEUR" w:cs="Calibri"/>
                <w:bCs/>
              </w:rPr>
              <w:t>133.09</w:t>
            </w:r>
            <w:r w:rsidR="0033285C">
              <w:rPr>
                <w:rFonts w:ascii="ISOCPEUR" w:hAnsi="ISOCPEUR" w:cs="Calibri"/>
                <w:bCs/>
              </w:rPr>
              <w:t>)</w:t>
            </w:r>
          </w:p>
        </w:tc>
        <w:tc>
          <w:tcPr>
            <w:tcW w:w="1535" w:type="dxa"/>
          </w:tcPr>
          <w:p w14:paraId="1B9A1E24" w14:textId="77777777" w:rsidR="004614DA" w:rsidRPr="007A7E96" w:rsidRDefault="00731870" w:rsidP="00845CC5">
            <w:pPr>
              <w:tabs>
                <w:tab w:val="left" w:pos="1620"/>
                <w:tab w:val="left" w:pos="1800"/>
                <w:tab w:val="left" w:pos="1980"/>
                <w:tab w:val="left" w:pos="6663"/>
              </w:tabs>
              <w:spacing w:before="120" w:after="120" w:line="276" w:lineRule="auto"/>
              <w:jc w:val="both"/>
              <w:rPr>
                <w:rFonts w:ascii="ISOCPEUR" w:hAnsi="ISOCPEUR" w:cs="Calibri"/>
                <w:bCs/>
              </w:rPr>
            </w:pPr>
            <w:r w:rsidRPr="007A7E96">
              <w:rPr>
                <w:rFonts w:ascii="ISOCPEUR" w:hAnsi="ISOCPEUR" w:cs="Calibri"/>
                <w:bCs/>
              </w:rPr>
              <w:t>3 080,00</w:t>
            </w:r>
          </w:p>
        </w:tc>
        <w:tc>
          <w:tcPr>
            <w:tcW w:w="1535" w:type="dxa"/>
          </w:tcPr>
          <w:p w14:paraId="1B9A1E25" w14:textId="77777777" w:rsidR="004614DA" w:rsidRPr="007A7E96" w:rsidRDefault="00C37FD5" w:rsidP="00845CC5">
            <w:pPr>
              <w:tabs>
                <w:tab w:val="left" w:pos="1620"/>
                <w:tab w:val="left" w:pos="1800"/>
                <w:tab w:val="left" w:pos="1980"/>
                <w:tab w:val="left" w:pos="6663"/>
              </w:tabs>
              <w:spacing w:before="120" w:after="120" w:line="276" w:lineRule="auto"/>
              <w:jc w:val="both"/>
              <w:rPr>
                <w:rFonts w:ascii="ISOCPEUR" w:hAnsi="ISOCPEUR" w:cs="Calibri"/>
                <w:b/>
                <w:bCs/>
              </w:rPr>
            </w:pPr>
            <w:r w:rsidRPr="007A7E96">
              <w:rPr>
                <w:rFonts w:ascii="ISOCPEUR" w:hAnsi="ISOCPEUR" w:cs="Calibri"/>
                <w:b/>
                <w:bCs/>
              </w:rPr>
              <w:t>VYHOVUJE</w:t>
            </w:r>
          </w:p>
        </w:tc>
      </w:tr>
    </w:tbl>
    <w:p w14:paraId="1B9A1E27" w14:textId="77777777" w:rsidR="00845CC5" w:rsidRPr="007A7E96" w:rsidRDefault="00845CC5" w:rsidP="008158B9">
      <w:pPr>
        <w:pStyle w:val="Nadpis1"/>
        <w:rPr>
          <w:rFonts w:ascii="ISOCPEUR" w:hAnsi="ISOCPEUR"/>
        </w:rPr>
      </w:pPr>
      <w:bookmarkStart w:id="55" w:name="_Toc401298352"/>
      <w:bookmarkStart w:id="56" w:name="_Toc408186"/>
      <w:bookmarkStart w:id="57" w:name="_Toc344825842"/>
      <w:bookmarkStart w:id="58" w:name="_Toc346043233"/>
      <w:bookmarkStart w:id="59" w:name="_Toc359765695"/>
      <w:bookmarkStart w:id="60" w:name="_Toc264976051"/>
      <w:bookmarkStart w:id="61" w:name="_Toc297465453"/>
      <w:bookmarkEnd w:id="45"/>
      <w:bookmarkEnd w:id="46"/>
      <w:r w:rsidRPr="007A7E96">
        <w:rPr>
          <w:rFonts w:ascii="ISOCPEUR" w:hAnsi="ISOCPEUR"/>
        </w:rPr>
        <w:t>Zhodnocení navržených stavebních konstrukcí a požárních uzávěrů z hlediska jejich požární odolnosti</w:t>
      </w:r>
      <w:bookmarkEnd w:id="55"/>
      <w:bookmarkEnd w:id="56"/>
    </w:p>
    <w:p w14:paraId="1B9A1E28" w14:textId="77777777" w:rsidR="00845CC5" w:rsidRPr="007A7E96" w:rsidRDefault="00074822" w:rsidP="00845CC5">
      <w:pPr>
        <w:autoSpaceDE w:val="0"/>
        <w:autoSpaceDN w:val="0"/>
        <w:adjustRightInd w:val="0"/>
        <w:spacing w:before="240" w:line="276" w:lineRule="auto"/>
        <w:jc w:val="both"/>
        <w:rPr>
          <w:rFonts w:ascii="ISOCPEUR" w:hAnsi="ISOCPEUR" w:cs="Calibri"/>
          <w:bCs/>
        </w:rPr>
      </w:pPr>
      <w:r w:rsidRPr="007A7E96">
        <w:rPr>
          <w:rFonts w:ascii="ISOCPEUR" w:hAnsi="ISOCPEUR" w:cs="Calibri"/>
          <w:bCs/>
        </w:rPr>
        <w:t>V</w:t>
      </w:r>
      <w:r w:rsidR="00845CC5" w:rsidRPr="007A7E96">
        <w:rPr>
          <w:rFonts w:ascii="ISOCPEUR" w:hAnsi="ISOCPEUR" w:cs="Calibri"/>
          <w:bCs/>
        </w:rPr>
        <w:t>yhodnoceny</w:t>
      </w:r>
      <w:r w:rsidRPr="007A7E96">
        <w:rPr>
          <w:rFonts w:ascii="ISOCPEUR" w:hAnsi="ISOCPEUR" w:cs="Calibri"/>
          <w:bCs/>
        </w:rPr>
        <w:t xml:space="preserve"> jsou</w:t>
      </w:r>
      <w:r w:rsidR="00845CC5" w:rsidRPr="007A7E96">
        <w:rPr>
          <w:rFonts w:ascii="ISOCPEUR" w:hAnsi="ISOCPEUR" w:cs="Calibri"/>
          <w:bCs/>
        </w:rPr>
        <w:t xml:space="preserve"> pouze nově instalované stavební konstrukce, stávající konstrukce jsou hodnoceny jako vyhovující s ohledem na nezvyšující se požární zatížení a SPB.</w:t>
      </w:r>
      <w:r w:rsidR="00845CC5" w:rsidRPr="007A7E96">
        <w:rPr>
          <w:rFonts w:ascii="ISOCPEUR" w:hAnsi="ISOCPEUR" w:cs="Calibri"/>
          <w:b/>
          <w:bCs/>
        </w:rPr>
        <w:t xml:space="preserve"> </w:t>
      </w:r>
      <w:r w:rsidR="00845CC5" w:rsidRPr="007A7E96">
        <w:rPr>
          <w:rFonts w:ascii="ISOCPEUR" w:hAnsi="ISOCPEUR" w:cs="Calibri"/>
          <w:bCs/>
        </w:rPr>
        <w:t>Požadovaná požární odolnost stavebních konstrukcí je stanovena dle tab. 1</w:t>
      </w:r>
      <w:r w:rsidR="004D00EE" w:rsidRPr="007A7E96">
        <w:rPr>
          <w:rFonts w:ascii="ISOCPEUR" w:hAnsi="ISOCPEUR" w:cs="Calibri"/>
          <w:bCs/>
        </w:rPr>
        <w:t>2, ČSN 73 0802</w:t>
      </w:r>
      <w:r w:rsidR="00845CC5" w:rsidRPr="007A7E96">
        <w:rPr>
          <w:rFonts w:ascii="ISOCPEUR" w:hAnsi="ISOCPEUR" w:cs="Calibri"/>
          <w:bCs/>
        </w:rPr>
        <w:t xml:space="preserve">. </w:t>
      </w:r>
    </w:p>
    <w:tbl>
      <w:tblPr>
        <w:tblW w:w="9102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"/>
        <w:gridCol w:w="4337"/>
        <w:gridCol w:w="690"/>
        <w:gridCol w:w="3648"/>
      </w:tblGrid>
      <w:tr w:rsidR="004D00EE" w:rsidRPr="004D00EE" w14:paraId="1B9A1E2D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29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Pol.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2A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Stavební konstrukce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2B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III.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</w:tcPr>
          <w:p w14:paraId="1B9A1E2C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NAVRHOVANÁ KONSTRUKCE A JEJÍ POŽÁRNÍ ODOLNOST</w:t>
            </w:r>
          </w:p>
        </w:tc>
      </w:tr>
      <w:tr w:rsidR="004D00EE" w:rsidRPr="004D00EE" w14:paraId="1B9A1E32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2E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1.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2F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Požární stěny a požární stropy, viz 8.2 a 8.3,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0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31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sz w:val="16"/>
                <w:szCs w:val="16"/>
              </w:rPr>
            </w:pPr>
          </w:p>
        </w:tc>
      </w:tr>
      <w:tr w:rsidR="004D00EE" w:rsidRPr="004D00EE" w14:paraId="1B9A1E37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3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4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a) v podzemních podlažích a ve všech podlažích mezi objekty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5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60DP1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36" w14:textId="77777777" w:rsidR="004D00EE" w:rsidRPr="003C503D" w:rsidRDefault="003C503D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3C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8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9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b) v nadzemních podlažích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A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45+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3B" w14:textId="77777777" w:rsidR="004D00EE" w:rsidRPr="004D00EE" w:rsidRDefault="0059181D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Prostor zastřešeného atria je požárně oddělen od sousedního požárního úseku požárně dělící stěnovou konstrukcí tvořenou keramickým zdivem min. </w:t>
            </w:r>
            <w:proofErr w:type="spellStart"/>
            <w:r>
              <w:rPr>
                <w:rFonts w:ascii="ISOCPEUR" w:hAnsi="ISOCPEUR" w:cs="Arial"/>
                <w:b/>
                <w:sz w:val="16"/>
                <w:szCs w:val="16"/>
              </w:rPr>
              <w:t>tl</w:t>
            </w:r>
            <w:proofErr w:type="spellEnd"/>
            <w:r>
              <w:rPr>
                <w:rFonts w:ascii="ISOCPEUR" w:hAnsi="ISOCPEUR" w:cs="Arial"/>
                <w:b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ISOCPEUR" w:hAnsi="ISOCPEUR" w:cs="Arial"/>
                <w:b/>
                <w:sz w:val="16"/>
                <w:szCs w:val="16"/>
              </w:rPr>
              <w:t>300mm</w:t>
            </w:r>
            <w:proofErr w:type="gramEnd"/>
            <w:r>
              <w:rPr>
                <w:rFonts w:ascii="ISOCPEUR" w:hAnsi="ISOCPEUR" w:cs="Arial"/>
                <w:b/>
                <w:sz w:val="16"/>
                <w:szCs w:val="16"/>
              </w:rPr>
              <w:t xml:space="preserve"> s požární odolností REI 180 DP1 =&gt; VYHOVUJE.</w:t>
            </w:r>
          </w:p>
        </w:tc>
      </w:tr>
      <w:tr w:rsidR="004D00EE" w:rsidRPr="004D00EE" w14:paraId="1B9A1E41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D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E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c) v posledním nadzemním podlaží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3F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30+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40" w14:textId="77777777" w:rsidR="004D00EE" w:rsidRPr="004D00EE" w:rsidRDefault="00F40172" w:rsidP="00F401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Sestava prosklení a vstupních dveří do zastřešeného atria (z nezastřešené části) bude realizována s požární odolností EI 30, </w:t>
            </w:r>
          </w:p>
        </w:tc>
      </w:tr>
      <w:tr w:rsidR="004D00EE" w:rsidRPr="004D00EE" w14:paraId="1B9A1E46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2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3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d) mezi objekty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4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60DP1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45" w14:textId="77777777" w:rsidR="004D00EE" w:rsidRPr="004D00EE" w:rsidRDefault="003C503D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4B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7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2.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8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Požární uzávěry otvorů v požárních stěnách a požárních stropech, viz 8.5.1,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9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4A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50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C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D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a) v podzemních podlažích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4E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4F" w14:textId="77777777" w:rsidR="004D00EE" w:rsidRPr="004D00EE" w:rsidRDefault="003C503D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57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1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2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b) v nadzemních podlažích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3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30DP3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54" w14:textId="77777777" w:rsidR="004D00EE" w:rsidRDefault="002B5DCA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Stávající okenní otvor do sousedního požárního úseku </w:t>
            </w:r>
          </w:p>
          <w:p w14:paraId="1B9A1E55" w14:textId="77777777" w:rsidR="002B5DCA" w:rsidRDefault="002B5DCA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lastRenderedPageBreak/>
              <w:t>N2.6-III. bude doplněn o požární uzávěr požárně odolné rolety EI 30 ovládanou signálem EPS =&gt; VYHOVUJE.</w:t>
            </w:r>
          </w:p>
          <w:p w14:paraId="1B9A1E56" w14:textId="77777777" w:rsidR="002B5DCA" w:rsidRPr="004D00EE" w:rsidRDefault="002B5DCA" w:rsidP="004317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Sestava prosklení a vstupních dveří do zastřešeného atria </w:t>
            </w:r>
            <w:r w:rsidR="00962DC3">
              <w:rPr>
                <w:rFonts w:ascii="ISOCPEUR" w:hAnsi="ISOCPEUR" w:cs="Arial"/>
                <w:b/>
                <w:sz w:val="16"/>
                <w:szCs w:val="16"/>
              </w:rPr>
              <w:t>(z nezastřešené části) bude realiz</w:t>
            </w:r>
            <w:r w:rsidR="00F40172">
              <w:rPr>
                <w:rFonts w:ascii="ISOCPEUR" w:hAnsi="ISOCPEUR" w:cs="Arial"/>
                <w:b/>
                <w:sz w:val="16"/>
                <w:szCs w:val="16"/>
              </w:rPr>
              <w:t xml:space="preserve">ována s požární odolností EI 30 </w:t>
            </w:r>
            <w:r w:rsidR="00431786">
              <w:rPr>
                <w:rFonts w:ascii="ISOCPEUR" w:hAnsi="ISOCPEUR" w:cs="Arial"/>
                <w:b/>
                <w:sz w:val="16"/>
                <w:szCs w:val="16"/>
              </w:rPr>
              <w:t>+</w:t>
            </w:r>
            <w:r w:rsidR="00962DC3">
              <w:rPr>
                <w:rFonts w:ascii="ISOCPEUR" w:hAnsi="ISOCPEUR" w:cs="Arial"/>
                <w:b/>
                <w:sz w:val="16"/>
                <w:szCs w:val="16"/>
              </w:rPr>
              <w:t xml:space="preserve"> vstupní dveře budou opatřené samozavíračem.</w:t>
            </w:r>
          </w:p>
        </w:tc>
      </w:tr>
      <w:tr w:rsidR="004D00EE" w:rsidRPr="004D00EE" w14:paraId="1B9A1E5C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8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9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c) v posledním nadzemním podlaží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A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15DP3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5B" w14:textId="77777777" w:rsidR="004D00EE" w:rsidRPr="004D00EE" w:rsidRDefault="00C46E2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61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D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3.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E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Obvodové stěny, viz 8.4.1 a 8.4.10,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5F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60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66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2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3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a) zajišťující stabilitu objektu nebo jeho části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4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65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6B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7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8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  1) v podzemních podlažích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9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60DP1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6A" w14:textId="77777777" w:rsidR="004D00EE" w:rsidRPr="004D00EE" w:rsidRDefault="00C46E2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70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C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D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  2) v nadzemních podlažích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6E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45+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6F" w14:textId="77777777" w:rsidR="004D00EE" w:rsidRPr="004D00EE" w:rsidRDefault="00C46E2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75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1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2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  3) v posledním nadzemním podlaží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3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30+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74" w14:textId="77777777" w:rsidR="004D00EE" w:rsidRPr="004D00EE" w:rsidRDefault="00C46E2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7A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6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7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b) nezajišťující stabilitu objektu nebo jeho části (bez ohledu na podlaží)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8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30+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79" w14:textId="77777777" w:rsidR="004D00EE" w:rsidRPr="004D00EE" w:rsidRDefault="001C25F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>Svislý obvodový plášť průčelí bude osazen sendvičovým panelem specifikace EI 30 DP1 (z obou stran)</w:t>
            </w:r>
            <w:r w:rsidR="006A2832">
              <w:rPr>
                <w:rFonts w:ascii="ISOCPEUR" w:hAnsi="ISOCPEUR" w:cs="Arial"/>
                <w:b/>
                <w:sz w:val="16"/>
                <w:szCs w:val="16"/>
              </w:rPr>
              <w:t xml:space="preserve"> =&gt; VYHOVUJE.</w:t>
            </w:r>
          </w:p>
        </w:tc>
      </w:tr>
      <w:tr w:rsidR="004D00EE" w:rsidRPr="004D00EE" w14:paraId="1B9A1E7F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B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4.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C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Nosné konstrukce střech, viz 8.7.2 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7D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7E" w14:textId="77777777" w:rsidR="004D00EE" w:rsidRPr="004D00EE" w:rsidRDefault="001C25F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Nosný ocelový skelet zastřešen je navržen na požární odolnost R 30 - ocelová konstrukce bude opatřena nátěrem </w:t>
            </w:r>
            <w:r w:rsidR="006A2832">
              <w:rPr>
                <w:rFonts w:ascii="ISOCPEUR" w:hAnsi="ISOCPEUR" w:cs="Arial"/>
                <w:b/>
                <w:sz w:val="16"/>
                <w:szCs w:val="16"/>
              </w:rPr>
              <w:t>zvyšujícím požární odolnost jednotlivých prvků. Opatření ocelové konstrukce požárním nátěrem je závazné a musí být splněno; doklad o požární odolnosti bude stavebníkem a realizační společností předložen před zahájením užívání stavby =&gt; VYHOVUJE.</w:t>
            </w:r>
          </w:p>
        </w:tc>
      </w:tr>
      <w:tr w:rsidR="004D00EE" w:rsidRPr="004D00EE" w14:paraId="1B9A1E84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0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5.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1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Nosné konstrukce uvnitř požárního úseku, které zajišťují stabilitu objektu, viz 8.7.1 a 8.7.2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2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83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89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5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6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a) v podzemních podlažích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7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60DP1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88" w14:textId="77777777" w:rsidR="004D00EE" w:rsidRPr="004D00EE" w:rsidRDefault="00C46E2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8E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A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B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b) v nadzemních podlažích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C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8D" w14:textId="77777777" w:rsidR="004D00EE" w:rsidRPr="004D00EE" w:rsidRDefault="00ED1A1A" w:rsidP="005171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>Ocelová nosná konstrukce v stávající části garáže pod úrovni řešeného zastřešení atria bude opatřena obklady a nátěry z</w:t>
            </w:r>
            <w:r w:rsidR="00517127">
              <w:rPr>
                <w:rFonts w:ascii="ISOCPEUR" w:hAnsi="ISOCPEUR" w:cs="Arial"/>
                <w:b/>
                <w:sz w:val="16"/>
                <w:szCs w:val="16"/>
              </w:rPr>
              <w:t>ajišťujícím požární odolnost R 45</w:t>
            </w:r>
            <w:r>
              <w:rPr>
                <w:rFonts w:ascii="ISOCPEUR" w:hAnsi="ISOCPEUR" w:cs="Arial"/>
                <w:b/>
                <w:sz w:val="16"/>
                <w:szCs w:val="16"/>
              </w:rPr>
              <w:t>.</w:t>
            </w:r>
          </w:p>
        </w:tc>
      </w:tr>
      <w:tr w:rsidR="004D00EE" w:rsidRPr="004D00EE" w14:paraId="1B9A1E93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8F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0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c) v posledním nadzemním podlaží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1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92" w14:textId="77777777" w:rsidR="004D00EE" w:rsidRPr="004D00EE" w:rsidRDefault="00B755BB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>Nosný ocelový skelet zastřešen</w:t>
            </w:r>
            <w:r w:rsidR="00ED1A1A">
              <w:rPr>
                <w:rFonts w:ascii="ISOCPEUR" w:hAnsi="ISOCPEUR" w:cs="Arial"/>
                <w:b/>
                <w:sz w:val="16"/>
                <w:szCs w:val="16"/>
              </w:rPr>
              <w:t>í</w:t>
            </w: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 je navržen na požární odolnost R 30 - ocelová konstrukce bude opatřena nátěrem zvyšujícím požární odolnost jednotlivých prvků. Opatření ocelové konstrukce požárním nátěrem je závazné a musí být splněno; doklad o požární odolnosti bude stavebníkem a realizační společností předložen před zahájením užívání stavby =&gt; VYHOVUJE.</w:t>
            </w:r>
          </w:p>
        </w:tc>
      </w:tr>
      <w:tr w:rsidR="004D00EE" w:rsidRPr="004D00EE" w14:paraId="1B9A1E98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4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6.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5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Nosné konstrukce vně objektu, které zajišťují stabilitu objektu (bez ohledu na podlaží), viz 8.7.3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6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97" w14:textId="77777777" w:rsidR="004D00EE" w:rsidRPr="004D00EE" w:rsidRDefault="00C46E2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9D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9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7.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A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Nosné konstrukce uvnitř požárního úseku, které nezajišťují stabilitu objektu, viz 8.7.5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B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9C" w14:textId="77777777" w:rsidR="004D00EE" w:rsidRPr="004D00EE" w:rsidRDefault="007A7E9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A2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E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8.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9F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Nenosné konstrukce uvnitř požárního úseku, viz 8.8.1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0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A1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A7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3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9.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4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Konstrukce schodišť uvnitř požárního úseku, které nejsou součástí chráněných únikových cest, viz 8.9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5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15DP3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A6" w14:textId="77777777" w:rsidR="004D00EE" w:rsidRPr="004D00EE" w:rsidRDefault="007A7E9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AC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8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10.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9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Výtahové a instalační šachty, viz 8.10 až 8.13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A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AB" w14:textId="77777777" w:rsidR="004D00EE" w:rsidRPr="004D00EE" w:rsidRDefault="007A7E9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 w:rsidRPr="003C503D">
              <w:rPr>
                <w:rFonts w:ascii="ISOCPEUR" w:hAnsi="ISOCPEUR" w:cs="Arial"/>
                <w:sz w:val="16"/>
                <w:szCs w:val="16"/>
              </w:rPr>
              <w:t>Konstrukce není zastoupena.</w:t>
            </w:r>
          </w:p>
        </w:tc>
      </w:tr>
      <w:tr w:rsidR="004D00EE" w:rsidRPr="004D00EE" w14:paraId="1B9A1EB1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D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E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a) šachty evakuačních a </w:t>
            </w:r>
            <w:proofErr w:type="gramStart"/>
            <w:r w:rsidRPr="004D00EE">
              <w:rPr>
                <w:rFonts w:ascii="ISOCPEUR" w:hAnsi="ISOCPEUR" w:cs="Arial"/>
                <w:sz w:val="16"/>
                <w:szCs w:val="16"/>
              </w:rPr>
              <w:t>požárních  výtahů</w:t>
            </w:r>
            <w:proofErr w:type="gramEnd"/>
            <w:r w:rsidRPr="004D00EE">
              <w:rPr>
                <w:rFonts w:ascii="ISOCPEUR" w:hAnsi="ISOCPEUR" w:cs="Arial"/>
                <w:sz w:val="16"/>
                <w:szCs w:val="16"/>
              </w:rPr>
              <w:t xml:space="preserve"> a šachty ostatní (např. instalační), jejichž výška přesahuje 45 m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AF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B0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B6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2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3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  1) požárně dělící konstrukce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4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sz w:val="16"/>
                <w:szCs w:val="16"/>
              </w:rPr>
              <w:t>podle položky 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B5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BB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7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8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  2) požární uzávěry otvorů v požárně dělících konstrukcích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9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sz w:val="16"/>
                <w:szCs w:val="16"/>
              </w:rPr>
              <w:t>podle položky 2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BA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C0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C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D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b) šachty ostatní (</w:t>
            </w:r>
            <w:proofErr w:type="spellStart"/>
            <w:proofErr w:type="gramStart"/>
            <w:r w:rsidRPr="004D00EE">
              <w:rPr>
                <w:rFonts w:ascii="ISOCPEUR" w:hAnsi="ISOCPEUR" w:cs="Arial"/>
                <w:sz w:val="16"/>
                <w:szCs w:val="16"/>
              </w:rPr>
              <w:t>výtahové,instalační</w:t>
            </w:r>
            <w:proofErr w:type="spellEnd"/>
            <w:proofErr w:type="gramEnd"/>
            <w:r w:rsidRPr="004D00EE">
              <w:rPr>
                <w:rFonts w:ascii="ISOCPEUR" w:hAnsi="ISOCPEUR" w:cs="Arial"/>
                <w:sz w:val="16"/>
                <w:szCs w:val="16"/>
              </w:rPr>
              <w:t xml:space="preserve"> apod.), jejichž výška je 45 m a menší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BE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BF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C5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1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2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  1) požárně dělící konstrukce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3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C4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CA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6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7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 xml:space="preserve">  2) požární uzávěry otvorů v požárně dělicích konstrukcích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8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15DP1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C9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D0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B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11.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C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Střešní pláště, viz 8.15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CD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CE" w14:textId="77777777" w:rsidR="004D00EE" w:rsidRDefault="00B755BB" w:rsidP="006C6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Střešní plášť bude osazen sendvičovým panelem </w:t>
            </w:r>
            <w:r>
              <w:rPr>
                <w:rFonts w:ascii="ISOCPEUR" w:hAnsi="ISOCPEUR" w:cs="Arial"/>
                <w:b/>
                <w:sz w:val="16"/>
                <w:szCs w:val="16"/>
              </w:rPr>
              <w:lastRenderedPageBreak/>
              <w:t xml:space="preserve">specifikace EI 30 DP1 (z </w:t>
            </w:r>
            <w:r w:rsidR="00195AE7">
              <w:rPr>
                <w:rFonts w:ascii="ISOCPEUR" w:hAnsi="ISOCPEUR" w:cs="Arial"/>
                <w:b/>
                <w:sz w:val="16"/>
                <w:szCs w:val="16"/>
              </w:rPr>
              <w:t>interiér</w:t>
            </w:r>
            <w:r w:rsidR="006C68B1">
              <w:rPr>
                <w:rFonts w:ascii="ISOCPEUR" w:hAnsi="ISOCPEUR" w:cs="Arial"/>
                <w:b/>
                <w:sz w:val="16"/>
                <w:szCs w:val="16"/>
              </w:rPr>
              <w:t>u</w:t>
            </w:r>
            <w:r w:rsidR="00195AE7">
              <w:rPr>
                <w:rFonts w:ascii="ISOCPEUR" w:hAnsi="ISOCPEUR" w:cs="Arial"/>
                <w:b/>
                <w:sz w:val="16"/>
                <w:szCs w:val="16"/>
              </w:rPr>
              <w:t xml:space="preserve"> zastřešení</w:t>
            </w:r>
            <w:r>
              <w:rPr>
                <w:rFonts w:ascii="ISOCPEUR" w:hAnsi="ISOCPEUR" w:cs="Arial"/>
                <w:b/>
                <w:sz w:val="16"/>
                <w:szCs w:val="16"/>
              </w:rPr>
              <w:t>)</w:t>
            </w:r>
            <w:r w:rsidR="00195AE7">
              <w:rPr>
                <w:rFonts w:ascii="ISOCPEUR" w:hAnsi="ISOCPEUR" w:cs="Arial"/>
                <w:b/>
                <w:sz w:val="16"/>
                <w:szCs w:val="16"/>
              </w:rPr>
              <w:t xml:space="preserve">, střešní plášť bude se shora splňovat specifikaci </w:t>
            </w:r>
            <w:proofErr w:type="spellStart"/>
            <w:r w:rsidR="00195AE7">
              <w:rPr>
                <w:rFonts w:ascii="ISOCPEUR" w:hAnsi="ISOCPEUR" w:cs="Arial"/>
                <w:b/>
                <w:sz w:val="16"/>
                <w:szCs w:val="16"/>
              </w:rPr>
              <w:t>B</w:t>
            </w:r>
            <w:r w:rsidR="00195AE7">
              <w:rPr>
                <w:rFonts w:ascii="ISOCPEUR" w:hAnsi="ISOCPEUR" w:cs="Arial"/>
                <w:b/>
                <w:sz w:val="16"/>
                <w:szCs w:val="16"/>
                <w:vertAlign w:val="subscript"/>
              </w:rPr>
              <w:t>roof</w:t>
            </w:r>
            <w:proofErr w:type="spellEnd"/>
            <w:r w:rsidR="00195AE7">
              <w:rPr>
                <w:rFonts w:ascii="ISOCPEUR" w:hAnsi="ISOCPEUR" w:cs="Arial"/>
                <w:b/>
                <w:sz w:val="16"/>
                <w:szCs w:val="16"/>
                <w:vertAlign w:val="subscript"/>
              </w:rPr>
              <w:t xml:space="preserve"> </w:t>
            </w:r>
            <w:r w:rsidR="00195AE7">
              <w:rPr>
                <w:rFonts w:ascii="ISOCPEUR" w:hAnsi="ISOCPEUR" w:cs="Arial"/>
                <w:b/>
                <w:sz w:val="16"/>
                <w:szCs w:val="16"/>
              </w:rPr>
              <w:t>t3</w:t>
            </w: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 =&gt; VYHOVUJE.</w:t>
            </w:r>
          </w:p>
          <w:p w14:paraId="1B9A1ECF" w14:textId="77777777" w:rsidR="009F582E" w:rsidRPr="004D00EE" w:rsidRDefault="009F582E" w:rsidP="006C68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 xml:space="preserve">Prosvětlení (prosklení) střešního pláště je situováno v požárně nebezpečném prostoru okenních otvorů ve vyšším </w:t>
            </w:r>
            <w:proofErr w:type="gramStart"/>
            <w:r>
              <w:rPr>
                <w:rFonts w:ascii="ISOCPEUR" w:hAnsi="ISOCPEUR" w:cs="Arial"/>
                <w:b/>
                <w:sz w:val="16"/>
                <w:szCs w:val="16"/>
              </w:rPr>
              <w:t>podlaží - prosklení</w:t>
            </w:r>
            <w:proofErr w:type="gramEnd"/>
            <w:r>
              <w:rPr>
                <w:rFonts w:ascii="ISOCPEUR" w:hAnsi="ISOCPEUR" w:cs="Arial"/>
                <w:b/>
                <w:sz w:val="16"/>
                <w:szCs w:val="16"/>
              </w:rPr>
              <w:t xml:space="preserve"> musí splňovat požadavek požární odolnosti EI 15 DP1 </w:t>
            </w:r>
            <w:r w:rsidR="009E3D47">
              <w:rPr>
                <w:rFonts w:ascii="ISOCPEUR" w:hAnsi="ISOCPEUR" w:cs="Arial"/>
                <w:b/>
                <w:sz w:val="16"/>
                <w:szCs w:val="16"/>
              </w:rPr>
              <w:t>=&gt; VYHOVUJE.</w:t>
            </w:r>
          </w:p>
        </w:tc>
      </w:tr>
      <w:tr w:rsidR="004D00EE" w:rsidRPr="004D00EE" w14:paraId="1B9A1ED5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1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lastRenderedPageBreak/>
              <w:t>12.</w:t>
            </w: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2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Jednopodlažní objekty, viz 8.1.1 (staticky nezávislé)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3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D4" w14:textId="77777777" w:rsidR="004D00EE" w:rsidRPr="004D00EE" w:rsidRDefault="007A7E96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  <w:r>
              <w:rPr>
                <w:rFonts w:ascii="ISOCPEUR" w:hAnsi="ISOCPEUR" w:cs="Arial"/>
                <w:b/>
                <w:sz w:val="16"/>
                <w:szCs w:val="16"/>
              </w:rPr>
              <w:t>Hodnoceno dle položek 1-11.</w:t>
            </w:r>
          </w:p>
        </w:tc>
      </w:tr>
      <w:tr w:rsidR="004D00EE" w:rsidRPr="004D00EE" w14:paraId="1B9A1EDA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6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7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a) požární stěny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8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60DP1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D9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DF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B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C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b) požární uzávěry otvorů v požárních stěnách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DD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DE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  <w:tr w:rsidR="004D00EE" w:rsidRPr="004D00EE" w14:paraId="1B9A1EE4" w14:textId="77777777" w:rsidTr="007E6FBE">
        <w:tc>
          <w:tcPr>
            <w:tcW w:w="42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E0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</w:p>
        </w:tc>
        <w:tc>
          <w:tcPr>
            <w:tcW w:w="43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E1" w14:textId="77777777" w:rsidR="004D00EE" w:rsidRPr="004D00EE" w:rsidRDefault="004D00EE" w:rsidP="007E6FBE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hAnsi="ISOCPEUR" w:cs="Arial"/>
                <w:sz w:val="16"/>
                <w:szCs w:val="16"/>
              </w:rPr>
            </w:pPr>
            <w:r w:rsidRPr="004D00EE">
              <w:rPr>
                <w:rFonts w:ascii="ISOCPEUR" w:hAnsi="ISOCPEUR" w:cs="Arial"/>
                <w:sz w:val="16"/>
                <w:szCs w:val="16"/>
              </w:rPr>
              <w:t>c) svislé požární pásy v obvodových stěnách mezi objekty a obvodové stěny, pokud mají být bez požárně otevřených ploch</w:t>
            </w:r>
          </w:p>
        </w:tc>
        <w:tc>
          <w:tcPr>
            <w:tcW w:w="6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EE2" w14:textId="77777777" w:rsidR="004D00EE" w:rsidRPr="004D00EE" w:rsidRDefault="004D00EE" w:rsidP="007E6F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SOCPEUR" w:hAnsi="ISOCPEUR" w:cs="Arial"/>
                <w:b/>
                <w:bCs/>
                <w:sz w:val="16"/>
                <w:szCs w:val="16"/>
              </w:rPr>
            </w:pPr>
            <w:r w:rsidRPr="004D00EE">
              <w:rPr>
                <w:rFonts w:ascii="ISOCPEUR" w:hAnsi="ISOCPEUR" w:cs="Arial"/>
                <w:b/>
                <w:bCs/>
                <w:sz w:val="16"/>
                <w:szCs w:val="16"/>
              </w:rPr>
              <w:t>30DP1</w:t>
            </w:r>
          </w:p>
        </w:tc>
        <w:tc>
          <w:tcPr>
            <w:tcW w:w="36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B9A1EE3" w14:textId="77777777" w:rsidR="004D00EE" w:rsidRPr="004D00EE" w:rsidRDefault="004D00EE" w:rsidP="003C50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SOCPEUR" w:hAnsi="ISOCPEUR" w:cs="Arial"/>
                <w:b/>
                <w:sz w:val="16"/>
                <w:szCs w:val="16"/>
              </w:rPr>
            </w:pPr>
          </w:p>
        </w:tc>
      </w:tr>
    </w:tbl>
    <w:p w14:paraId="1B9A1EE7" w14:textId="77777777" w:rsidR="00047F69" w:rsidRPr="000365A4" w:rsidRDefault="00845CC5" w:rsidP="00845CC5">
      <w:pPr>
        <w:tabs>
          <w:tab w:val="left" w:pos="6663"/>
        </w:tabs>
        <w:spacing w:before="120" w:line="276" w:lineRule="auto"/>
        <w:jc w:val="both"/>
        <w:rPr>
          <w:rFonts w:ascii="ISOCPEUR" w:eastAsia="Times New Roman" w:hAnsi="ISOCPEUR" w:cs="Calibri"/>
          <w:b/>
          <w:iCs/>
          <w:lang w:eastAsia="cs-CZ"/>
        </w:rPr>
      </w:pPr>
      <w:r w:rsidRPr="000365A4">
        <w:rPr>
          <w:rFonts w:ascii="ISOCPEUR" w:eastAsia="Times New Roman" w:hAnsi="ISOCPEUR" w:cs="Calibri"/>
          <w:b/>
          <w:iCs/>
          <w:lang w:eastAsia="cs-CZ"/>
        </w:rPr>
        <w:t xml:space="preserve">Závěr: </w:t>
      </w:r>
    </w:p>
    <w:p w14:paraId="1B9A1EE8" w14:textId="77777777" w:rsidR="00845CC5" w:rsidRPr="000365A4" w:rsidRDefault="00845CC5" w:rsidP="00845CC5">
      <w:pPr>
        <w:tabs>
          <w:tab w:val="left" w:pos="6663"/>
        </w:tabs>
        <w:spacing w:before="120" w:line="276" w:lineRule="auto"/>
        <w:jc w:val="both"/>
        <w:rPr>
          <w:rFonts w:ascii="ISOCPEUR" w:eastAsia="ArialMT" w:hAnsi="ISOCPEUR" w:cs="Calibri"/>
          <w:b/>
          <w:lang w:eastAsia="cs-CZ"/>
        </w:rPr>
      </w:pPr>
      <w:r w:rsidRPr="000365A4">
        <w:rPr>
          <w:rFonts w:ascii="ISOCPEUR" w:eastAsia="ArialMT" w:hAnsi="ISOCPEUR" w:cs="Calibri"/>
          <w:b/>
          <w:lang w:eastAsia="cs-CZ"/>
        </w:rPr>
        <w:t xml:space="preserve">Navrhované stavební konstrukce splňují požadavky </w:t>
      </w:r>
      <w:r w:rsidR="00047F69" w:rsidRPr="000365A4">
        <w:rPr>
          <w:rFonts w:ascii="ISOCPEUR" w:eastAsia="ArialMT" w:hAnsi="ISOCPEUR" w:cs="Calibri"/>
          <w:b/>
          <w:lang w:eastAsia="cs-CZ"/>
        </w:rPr>
        <w:t xml:space="preserve">na požadovanou požární odolnost, jednotlivé průčelí objektu </w:t>
      </w:r>
      <w:r w:rsidR="009E3D47" w:rsidRPr="000365A4">
        <w:rPr>
          <w:rFonts w:ascii="ISOCPEUR" w:eastAsia="ArialMT" w:hAnsi="ISOCPEUR" w:cs="Calibri"/>
          <w:b/>
          <w:lang w:eastAsia="cs-CZ"/>
        </w:rPr>
        <w:t xml:space="preserve">jsou bez požárně otevřených </w:t>
      </w:r>
      <w:proofErr w:type="gramStart"/>
      <w:r w:rsidR="009E3D47" w:rsidRPr="000365A4">
        <w:rPr>
          <w:rFonts w:ascii="ISOCPEUR" w:eastAsia="ArialMT" w:hAnsi="ISOCPEUR" w:cs="Calibri"/>
          <w:b/>
          <w:lang w:eastAsia="cs-CZ"/>
        </w:rPr>
        <w:t>ploch - odstupové</w:t>
      </w:r>
      <w:proofErr w:type="gramEnd"/>
      <w:r w:rsidR="009E3D47" w:rsidRPr="000365A4">
        <w:rPr>
          <w:rFonts w:ascii="ISOCPEUR" w:eastAsia="ArialMT" w:hAnsi="ISOCPEUR" w:cs="Calibri"/>
          <w:b/>
          <w:lang w:eastAsia="cs-CZ"/>
        </w:rPr>
        <w:t xml:space="preserve"> vzdálenosti nebudou dále v textu hodnoceny</w:t>
      </w:r>
      <w:r w:rsidR="00047F69" w:rsidRPr="000365A4">
        <w:rPr>
          <w:rFonts w:ascii="ISOCPEUR" w:eastAsia="ArialMT" w:hAnsi="ISOCPEUR" w:cs="Calibri"/>
          <w:b/>
          <w:lang w:eastAsia="cs-CZ"/>
        </w:rPr>
        <w:t xml:space="preserve">. </w:t>
      </w:r>
    </w:p>
    <w:p w14:paraId="1B9A1EE9" w14:textId="77777777" w:rsidR="00845CC5" w:rsidRPr="000365A4" w:rsidRDefault="00845CC5" w:rsidP="000158E6">
      <w:pPr>
        <w:pStyle w:val="Nadpis1"/>
        <w:rPr>
          <w:rFonts w:ascii="ISOCPEUR" w:hAnsi="ISOCPEUR"/>
        </w:rPr>
      </w:pPr>
      <w:bookmarkStart w:id="62" w:name="_Toc408187"/>
      <w:bookmarkStart w:id="63" w:name="_Toc365319034"/>
      <w:bookmarkStart w:id="64" w:name="_Toc376696930"/>
      <w:bookmarkEnd w:id="57"/>
      <w:bookmarkEnd w:id="58"/>
      <w:bookmarkEnd w:id="59"/>
      <w:r w:rsidRPr="000365A4">
        <w:rPr>
          <w:rFonts w:ascii="ISOCPEUR" w:hAnsi="ISOCPEUR"/>
        </w:rPr>
        <w:t xml:space="preserve">Zhodnocení </w:t>
      </w:r>
      <w:proofErr w:type="spellStart"/>
      <w:r w:rsidRPr="000365A4">
        <w:rPr>
          <w:rFonts w:ascii="ISOCPEUR" w:hAnsi="ISOCPEUR"/>
        </w:rPr>
        <w:t>navžených</w:t>
      </w:r>
      <w:proofErr w:type="spellEnd"/>
      <w:r w:rsidRPr="000365A4">
        <w:rPr>
          <w:rFonts w:ascii="ISOCPEUR" w:hAnsi="ISOCPEUR"/>
        </w:rPr>
        <w:t xml:space="preserve"> stavebních hmot (stupeň hořlavosti, odkapávaní v podmínkách požáru, rychlost šíření po povrchu, toxicita zplodin hoření apod.)</w:t>
      </w:r>
      <w:bookmarkEnd w:id="62"/>
    </w:p>
    <w:p w14:paraId="1B9A1EEA" w14:textId="77777777" w:rsidR="00845CC5" w:rsidRPr="000365A4" w:rsidRDefault="00845CC5" w:rsidP="00845CC5">
      <w:pPr>
        <w:autoSpaceDE w:val="0"/>
        <w:autoSpaceDN w:val="0"/>
        <w:adjustRightInd w:val="0"/>
        <w:jc w:val="both"/>
        <w:rPr>
          <w:rFonts w:ascii="ISOCPEUR" w:eastAsia="Times New Roman" w:hAnsi="ISOCPEUR" w:cs="Calibri"/>
          <w:lang w:eastAsia="cs-CZ"/>
        </w:rPr>
      </w:pPr>
      <w:r w:rsidRPr="000365A4">
        <w:rPr>
          <w:rFonts w:ascii="ISOCPEUR" w:eastAsia="Times New Roman" w:hAnsi="ISOCPEUR" w:cs="Calibri"/>
          <w:lang w:eastAsia="cs-CZ"/>
        </w:rPr>
        <w:t xml:space="preserve">Na povrchové úpravy stavebních konstrukcí není navrženo hmot, které by nesplňovaly požadavky na šíření plamene po povrchu. Nátěry do 2 mm tloušťky není nutné posuzovat. </w:t>
      </w:r>
    </w:p>
    <w:p w14:paraId="1B9A1EEB" w14:textId="77777777" w:rsidR="00845CC5" w:rsidRPr="00EE29A8" w:rsidRDefault="00845CC5" w:rsidP="00571159">
      <w:pPr>
        <w:pStyle w:val="Nadpis1"/>
        <w:rPr>
          <w:rFonts w:ascii="ISOCPEUR" w:hAnsi="ISOCPEUR"/>
        </w:rPr>
      </w:pPr>
      <w:bookmarkStart w:id="65" w:name="_Toc389455980"/>
      <w:bookmarkStart w:id="66" w:name="_Toc408188"/>
      <w:r w:rsidRPr="00EE29A8">
        <w:rPr>
          <w:rFonts w:ascii="ISOCPEUR" w:hAnsi="ISOCPEUR"/>
        </w:rPr>
        <w:t>Únikové cest</w:t>
      </w:r>
      <w:bookmarkEnd w:id="60"/>
      <w:bookmarkEnd w:id="61"/>
      <w:r w:rsidRPr="00EE29A8">
        <w:rPr>
          <w:rFonts w:ascii="ISOCPEUR" w:hAnsi="ISOCPEUR"/>
        </w:rPr>
        <w:t>y</w:t>
      </w:r>
      <w:bookmarkEnd w:id="63"/>
      <w:bookmarkEnd w:id="64"/>
      <w:bookmarkEnd w:id="65"/>
      <w:bookmarkEnd w:id="66"/>
      <w:r w:rsidRPr="00EE29A8">
        <w:rPr>
          <w:rFonts w:ascii="ISOCPEUR" w:hAnsi="ISOCPEUR"/>
        </w:rPr>
        <w:t xml:space="preserve"> </w:t>
      </w:r>
    </w:p>
    <w:p w14:paraId="1B9A1EEC" w14:textId="77777777" w:rsidR="0014741D" w:rsidRPr="00EE29A8" w:rsidRDefault="00571159" w:rsidP="00845CC5">
      <w:pPr>
        <w:tabs>
          <w:tab w:val="left" w:pos="426"/>
        </w:tabs>
        <w:spacing w:before="120" w:line="276" w:lineRule="auto"/>
        <w:jc w:val="both"/>
        <w:rPr>
          <w:rFonts w:ascii="ISOCPEUR" w:hAnsi="ISOCPEUR" w:cs="Calibri"/>
        </w:rPr>
      </w:pPr>
      <w:r w:rsidRPr="00EE29A8">
        <w:rPr>
          <w:rFonts w:ascii="ISOCPEUR" w:hAnsi="ISOCPEUR" w:cs="Calibri"/>
        </w:rPr>
        <w:t>Z důvodu realizace navrhované</w:t>
      </w:r>
      <w:r w:rsidR="00EC4685" w:rsidRPr="00EE29A8">
        <w:rPr>
          <w:rFonts w:ascii="ISOCPEUR" w:hAnsi="ISOCPEUR" w:cs="Calibri"/>
        </w:rPr>
        <w:t xml:space="preserve">ho zastřešení atria nejsou omezené stávající únikové cesty </w:t>
      </w:r>
      <w:r w:rsidR="00AD2758" w:rsidRPr="00EE29A8">
        <w:rPr>
          <w:rFonts w:ascii="ISOCPEUR" w:hAnsi="ISOCPEUR" w:cs="Calibri"/>
        </w:rPr>
        <w:t>ze stávajícího PÚ. Z důvodu rea</w:t>
      </w:r>
      <w:r w:rsidR="00BE64B3" w:rsidRPr="00EE29A8">
        <w:rPr>
          <w:rFonts w:ascii="ISOCPEUR" w:hAnsi="ISOCPEUR" w:cs="Calibri"/>
        </w:rPr>
        <w:t xml:space="preserve">lizace zastřešení není navýšeno stávající </w:t>
      </w:r>
      <w:r w:rsidR="00CF5675" w:rsidRPr="00EE29A8">
        <w:rPr>
          <w:rFonts w:ascii="ISOCPEUR" w:hAnsi="ISOCPEUR" w:cs="Calibri"/>
        </w:rPr>
        <w:t xml:space="preserve">obsazení objektu </w:t>
      </w:r>
      <w:proofErr w:type="gramStart"/>
      <w:r w:rsidR="00CF5675" w:rsidRPr="00EE29A8">
        <w:rPr>
          <w:rFonts w:ascii="ISOCPEUR" w:hAnsi="ISOCPEUR" w:cs="Calibri"/>
        </w:rPr>
        <w:t>osobami - relaxační</w:t>
      </w:r>
      <w:proofErr w:type="gramEnd"/>
      <w:r w:rsidR="00CF5675" w:rsidRPr="00EE29A8">
        <w:rPr>
          <w:rFonts w:ascii="ISOCPEUR" w:hAnsi="ISOCPEUR" w:cs="Calibri"/>
        </w:rPr>
        <w:t xml:space="preserve"> část bude sloužit pouze stávajícím </w:t>
      </w:r>
      <w:r w:rsidR="0014741D" w:rsidRPr="00EE29A8">
        <w:rPr>
          <w:rFonts w:ascii="ISOCPEUR" w:hAnsi="ISOCPEUR" w:cs="Calibri"/>
        </w:rPr>
        <w:t>uživatelům objektu.</w:t>
      </w:r>
    </w:p>
    <w:p w14:paraId="1B9A1EED" w14:textId="77777777" w:rsidR="0014741D" w:rsidRPr="00EE29A8" w:rsidRDefault="0014741D" w:rsidP="00845CC5">
      <w:pPr>
        <w:tabs>
          <w:tab w:val="left" w:pos="426"/>
        </w:tabs>
        <w:spacing w:before="120" w:line="276" w:lineRule="auto"/>
        <w:jc w:val="both"/>
        <w:rPr>
          <w:rFonts w:ascii="ISOCPEUR" w:hAnsi="ISOCPEUR" w:cs="Calibri"/>
        </w:rPr>
      </w:pPr>
      <w:r w:rsidRPr="00EE29A8">
        <w:rPr>
          <w:rFonts w:ascii="ISOCPEUR" w:hAnsi="ISOCPEUR" w:cs="Calibri"/>
        </w:rPr>
        <w:t xml:space="preserve">Z nově zastřešeného atria jsou zachovány rovněž stávající únikové cesty + lze využít </w:t>
      </w:r>
      <w:r w:rsidR="00120F39" w:rsidRPr="00EE29A8">
        <w:rPr>
          <w:rFonts w:ascii="ISOCPEUR" w:hAnsi="ISOCPEUR" w:cs="Calibri"/>
        </w:rPr>
        <w:t xml:space="preserve">únik stávajícím </w:t>
      </w:r>
      <w:proofErr w:type="gramStart"/>
      <w:r w:rsidR="00120F39" w:rsidRPr="00EE29A8">
        <w:rPr>
          <w:rFonts w:ascii="ISOCPEUR" w:hAnsi="ISOCPEUR" w:cs="Calibri"/>
        </w:rPr>
        <w:t>objektem - toto</w:t>
      </w:r>
      <w:proofErr w:type="gramEnd"/>
      <w:r w:rsidR="00120F39" w:rsidRPr="00EE29A8">
        <w:rPr>
          <w:rFonts w:ascii="ISOCPEUR" w:hAnsi="ISOCPEUR" w:cs="Calibri"/>
        </w:rPr>
        <w:t xml:space="preserve"> dosud nebylo možné, umožněno vybouráním oken a parapetního zdiva. </w:t>
      </w:r>
    </w:p>
    <w:p w14:paraId="1B9A1EEE" w14:textId="77777777" w:rsidR="00BC230B" w:rsidRPr="00EE29A8" w:rsidRDefault="001E4C3C" w:rsidP="00845CC5">
      <w:pPr>
        <w:tabs>
          <w:tab w:val="left" w:pos="426"/>
        </w:tabs>
        <w:spacing w:before="120" w:line="276" w:lineRule="auto"/>
        <w:jc w:val="both"/>
        <w:rPr>
          <w:rFonts w:ascii="ISOCPEUR" w:hAnsi="ISOCPEUR" w:cs="Calibri"/>
        </w:rPr>
      </w:pPr>
      <w:r w:rsidRPr="00EE29A8">
        <w:rPr>
          <w:rFonts w:ascii="ISOCPEUR" w:hAnsi="ISOCPEUR" w:cs="Calibri"/>
        </w:rPr>
        <w:t>Ze zastřešeného prostoru atria bude únik zajištěn vstupem</w:t>
      </w:r>
      <w:r w:rsidR="00A86CDB" w:rsidRPr="00EE29A8">
        <w:rPr>
          <w:rFonts w:ascii="ISOCPEUR" w:hAnsi="ISOCPEUR" w:cs="Calibri"/>
        </w:rPr>
        <w:t xml:space="preserve"> na nezastřešenou část atria a odtud po vnějším schodišti do dvora. Délka úniku na otevřený prostor atria je do </w:t>
      </w:r>
      <w:proofErr w:type="gramStart"/>
      <w:r w:rsidR="00A86CDB" w:rsidRPr="00EE29A8">
        <w:rPr>
          <w:rFonts w:ascii="ISOCPEUR" w:hAnsi="ISOCPEUR" w:cs="Calibri"/>
        </w:rPr>
        <w:t>15m</w:t>
      </w:r>
      <w:proofErr w:type="gramEnd"/>
      <w:r w:rsidR="00A86CDB" w:rsidRPr="00EE29A8">
        <w:rPr>
          <w:rFonts w:ascii="ISOCPEUR" w:hAnsi="ISOCPEUR" w:cs="Calibri"/>
        </w:rPr>
        <w:t>, šířka nechráněné únikové cesty je min. 0.8m, výskyt osob do 2</w:t>
      </w:r>
      <w:r w:rsidR="00120941">
        <w:rPr>
          <w:rFonts w:ascii="ISOCPEUR" w:hAnsi="ISOCPEUR" w:cs="Calibri"/>
        </w:rPr>
        <w:t>5</w:t>
      </w:r>
      <w:r w:rsidR="00A86CDB" w:rsidRPr="00EE29A8">
        <w:rPr>
          <w:rFonts w:ascii="ISOCPEUR" w:hAnsi="ISOCPEUR" w:cs="Calibri"/>
        </w:rPr>
        <w:t>.</w:t>
      </w:r>
    </w:p>
    <w:p w14:paraId="1B9A1EEF" w14:textId="77777777" w:rsidR="006E4290" w:rsidRPr="006E4290" w:rsidRDefault="006E4290" w:rsidP="006E4290">
      <w:pPr>
        <w:autoSpaceDE w:val="0"/>
        <w:autoSpaceDN w:val="0"/>
        <w:adjustRightInd w:val="0"/>
        <w:rPr>
          <w:rFonts w:ascii="ISOCPEUR" w:eastAsia="Times New Roman" w:hAnsi="ISOCPEUR" w:cs="Tahoma"/>
          <w:b/>
          <w:sz w:val="20"/>
          <w:szCs w:val="20"/>
          <w:u w:val="single"/>
          <w:lang w:eastAsia="cs-CZ"/>
        </w:rPr>
      </w:pPr>
      <w:r w:rsidRPr="00417C83">
        <w:rPr>
          <w:rFonts w:ascii="ISOCPEUR" w:eastAsia="Times New Roman" w:hAnsi="ISOCPEUR" w:cs="Tahoma"/>
          <w:b/>
          <w:sz w:val="20"/>
          <w:szCs w:val="20"/>
          <w:u w:val="single"/>
          <w:lang w:eastAsia="cs-CZ"/>
        </w:rPr>
        <w:t>Ověření parametrů ÚC</w:t>
      </w:r>
      <w:r w:rsidRPr="006E4290">
        <w:rPr>
          <w:rFonts w:ascii="ISOCPEUR" w:eastAsia="Times New Roman" w:hAnsi="ISOCPEUR" w:cs="Tahoma"/>
          <w:b/>
          <w:sz w:val="20"/>
          <w:szCs w:val="20"/>
          <w:u w:val="single"/>
          <w:lang w:eastAsia="cs-CZ"/>
        </w:rPr>
        <w:t>:</w:t>
      </w:r>
    </w:p>
    <w:tbl>
      <w:tblPr>
        <w:tblW w:w="959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99"/>
        <w:gridCol w:w="1125"/>
        <w:gridCol w:w="917"/>
        <w:gridCol w:w="1125"/>
        <w:gridCol w:w="721"/>
        <w:gridCol w:w="571"/>
        <w:gridCol w:w="587"/>
        <w:gridCol w:w="705"/>
        <w:gridCol w:w="617"/>
        <w:gridCol w:w="721"/>
        <w:gridCol w:w="691"/>
        <w:gridCol w:w="511"/>
      </w:tblGrid>
      <w:tr w:rsidR="006E4290" w:rsidRPr="006E4290" w14:paraId="1B9A1F09" w14:textId="77777777" w:rsidTr="006E4290">
        <w:trPr>
          <w:tblHeader/>
        </w:trPr>
        <w:tc>
          <w:tcPr>
            <w:tcW w:w="129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0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Varianta</w:t>
            </w:r>
          </w:p>
        </w:tc>
        <w:tc>
          <w:tcPr>
            <w:tcW w:w="11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1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Cesta</w:t>
            </w:r>
          </w:p>
        </w:tc>
        <w:tc>
          <w:tcPr>
            <w:tcW w:w="9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2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Počet</w:t>
            </w:r>
          </w:p>
          <w:p w14:paraId="1B9A1EF3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osob</w:t>
            </w:r>
          </w:p>
        </w:tc>
        <w:tc>
          <w:tcPr>
            <w:tcW w:w="11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4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Úsek</w:t>
            </w:r>
          </w:p>
        </w:tc>
        <w:tc>
          <w:tcPr>
            <w:tcW w:w="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5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Typ</w:t>
            </w:r>
          </w:p>
          <w:p w14:paraId="1B9A1EF6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úniku</w:t>
            </w:r>
          </w:p>
        </w:tc>
        <w:tc>
          <w:tcPr>
            <w:tcW w:w="5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7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Skut.</w:t>
            </w:r>
          </w:p>
          <w:p w14:paraId="1B9A1EF8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délka</w:t>
            </w:r>
          </w:p>
          <w:p w14:paraId="1B9A1EF9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[m]</w:t>
            </w:r>
          </w:p>
        </w:tc>
        <w:tc>
          <w:tcPr>
            <w:tcW w:w="5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A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Skut.</w:t>
            </w:r>
          </w:p>
          <w:p w14:paraId="1B9A1EFB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šířka</w:t>
            </w:r>
          </w:p>
          <w:p w14:paraId="1B9A1EFC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[m]</w:t>
            </w:r>
          </w:p>
        </w:tc>
        <w:tc>
          <w:tcPr>
            <w:tcW w:w="7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EFD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Max</w:t>
            </w:r>
          </w:p>
          <w:p w14:paraId="1B9A1EFE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délka</w:t>
            </w:r>
          </w:p>
          <w:p w14:paraId="1B9A1EFF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[m]</w:t>
            </w:r>
          </w:p>
        </w:tc>
        <w:tc>
          <w:tcPr>
            <w:tcW w:w="6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00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Min</w:t>
            </w:r>
          </w:p>
          <w:p w14:paraId="1B9A1F01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šířka</w:t>
            </w:r>
          </w:p>
          <w:p w14:paraId="1B9A1F02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[m]</w:t>
            </w:r>
          </w:p>
        </w:tc>
        <w:tc>
          <w:tcPr>
            <w:tcW w:w="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03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vertAlign w:val="subscript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t</w:t>
            </w: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vertAlign w:val="subscript"/>
                <w:lang w:eastAsia="cs-CZ"/>
              </w:rPr>
              <w:t>u</w:t>
            </w:r>
          </w:p>
          <w:p w14:paraId="1B9A1F04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[min]</w:t>
            </w:r>
          </w:p>
        </w:tc>
        <w:tc>
          <w:tcPr>
            <w:tcW w:w="6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05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vertAlign w:val="subscript"/>
                <w:lang w:eastAsia="cs-CZ"/>
              </w:rPr>
            </w:pPr>
            <w:proofErr w:type="spellStart"/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t</w:t>
            </w: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vertAlign w:val="subscript"/>
                <w:lang w:eastAsia="cs-CZ"/>
              </w:rPr>
              <w:t>e</w:t>
            </w:r>
            <w:proofErr w:type="spellEnd"/>
          </w:p>
          <w:p w14:paraId="1B9A1F06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[min]</w:t>
            </w:r>
          </w:p>
        </w:tc>
        <w:tc>
          <w:tcPr>
            <w:tcW w:w="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07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</w:pPr>
            <w:proofErr w:type="spellStart"/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Vyh</w:t>
            </w:r>
            <w:proofErr w:type="spellEnd"/>
            <w:r w:rsidRPr="006E4290">
              <w:rPr>
                <w:rFonts w:ascii="ISOCPEUR" w:eastAsia="Times New Roman" w:hAnsi="ISOCPEUR" w:cs="Tahoma"/>
                <w:b/>
                <w:bCs/>
                <w:sz w:val="16"/>
                <w:szCs w:val="16"/>
                <w:lang w:eastAsia="cs-CZ"/>
              </w:rPr>
              <w:t>.</w:t>
            </w:r>
          </w:p>
          <w:p w14:paraId="1B9A1F08" w14:textId="77777777" w:rsidR="006E4290" w:rsidRPr="006E4290" w:rsidRDefault="006E4290" w:rsidP="006E4290">
            <w:pPr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b/>
                <w:bCs/>
                <w:sz w:val="14"/>
                <w:szCs w:val="14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b/>
                <w:bCs/>
                <w:sz w:val="14"/>
                <w:szCs w:val="14"/>
                <w:lang w:eastAsia="cs-CZ"/>
              </w:rPr>
              <w:t>[]</w:t>
            </w:r>
          </w:p>
        </w:tc>
      </w:tr>
      <w:tr w:rsidR="006E4290" w:rsidRPr="006E4290" w14:paraId="1B9A1F16" w14:textId="77777777" w:rsidTr="006E4290">
        <w:tc>
          <w:tcPr>
            <w:tcW w:w="129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0A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nechráněná</w:t>
            </w:r>
          </w:p>
        </w:tc>
        <w:tc>
          <w:tcPr>
            <w:tcW w:w="11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0B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1. úniková cesta</w:t>
            </w:r>
          </w:p>
        </w:tc>
        <w:tc>
          <w:tcPr>
            <w:tcW w:w="9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0C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25/0/0</w:t>
            </w:r>
          </w:p>
        </w:tc>
        <w:tc>
          <w:tcPr>
            <w:tcW w:w="112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0D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1. úsek</w:t>
            </w:r>
          </w:p>
        </w:tc>
        <w:tc>
          <w:tcPr>
            <w:tcW w:w="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0E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rovina</w:t>
            </w:r>
          </w:p>
        </w:tc>
        <w:tc>
          <w:tcPr>
            <w:tcW w:w="5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0F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 xml:space="preserve">15,00  </w:t>
            </w:r>
          </w:p>
        </w:tc>
        <w:tc>
          <w:tcPr>
            <w:tcW w:w="58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10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 xml:space="preserve">0,80  </w:t>
            </w:r>
          </w:p>
        </w:tc>
        <w:tc>
          <w:tcPr>
            <w:tcW w:w="7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11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30,00</w:t>
            </w:r>
          </w:p>
        </w:tc>
        <w:tc>
          <w:tcPr>
            <w:tcW w:w="6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12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0,55</w:t>
            </w:r>
          </w:p>
        </w:tc>
        <w:tc>
          <w:tcPr>
            <w:tcW w:w="7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13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0,65</w:t>
            </w:r>
          </w:p>
        </w:tc>
        <w:tc>
          <w:tcPr>
            <w:tcW w:w="69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14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2,58</w:t>
            </w:r>
          </w:p>
        </w:tc>
        <w:tc>
          <w:tcPr>
            <w:tcW w:w="5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15" w14:textId="77777777" w:rsidR="006E4290" w:rsidRPr="006E4290" w:rsidRDefault="006E4290" w:rsidP="006E4290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</w:pPr>
            <w:r w:rsidRPr="006E4290">
              <w:rPr>
                <w:rFonts w:ascii="ISOCPEUR" w:eastAsia="Times New Roman" w:hAnsi="ISOCPEUR" w:cs="Tahoma"/>
                <w:sz w:val="16"/>
                <w:szCs w:val="16"/>
                <w:lang w:eastAsia="cs-CZ"/>
              </w:rPr>
              <w:t>ano</w:t>
            </w:r>
          </w:p>
        </w:tc>
      </w:tr>
    </w:tbl>
    <w:p w14:paraId="1B9A1F17" w14:textId="77777777" w:rsidR="006E4290" w:rsidRPr="006E4290" w:rsidRDefault="00EE29A8" w:rsidP="006E4290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80" w:after="160"/>
        <w:rPr>
          <w:rFonts w:ascii="ISOCPEUR" w:eastAsia="Times New Roman" w:hAnsi="ISOCPEUR" w:cs="Tahoma"/>
          <w:b/>
          <w:szCs w:val="20"/>
          <w:lang w:eastAsia="cs-CZ"/>
        </w:rPr>
      </w:pPr>
      <w:r w:rsidRPr="00EE29A8">
        <w:rPr>
          <w:rFonts w:ascii="ISOCPEUR" w:eastAsia="Times New Roman" w:hAnsi="ISOCPEUR" w:cs="Tahoma"/>
          <w:b/>
          <w:szCs w:val="20"/>
          <w:lang w:eastAsia="cs-CZ"/>
        </w:rPr>
        <w:t>Mezní délka nechráněné ÚC je max. 30metrů, min. šířka 0.55m =&gt; VYHOVUJE.</w:t>
      </w:r>
    </w:p>
    <w:p w14:paraId="1B9A1F18" w14:textId="77777777" w:rsidR="00845CC5" w:rsidRPr="00FB52F3" w:rsidRDefault="00845CC5" w:rsidP="009A7B66">
      <w:pPr>
        <w:pStyle w:val="Nadpis2"/>
        <w:rPr>
          <w:rFonts w:ascii="ISOCPEUR" w:hAnsi="ISOCPEUR"/>
        </w:rPr>
      </w:pPr>
      <w:bookmarkStart w:id="67" w:name="_Toc389455982"/>
      <w:bookmarkStart w:id="68" w:name="_Toc408189"/>
      <w:r w:rsidRPr="00FB52F3">
        <w:rPr>
          <w:rFonts w:ascii="ISOCPEUR" w:hAnsi="ISOCPEUR"/>
        </w:rPr>
        <w:t>Provedení únikových cest</w:t>
      </w:r>
      <w:bookmarkEnd w:id="67"/>
      <w:bookmarkEnd w:id="68"/>
    </w:p>
    <w:p w14:paraId="1B9A1F19" w14:textId="77777777" w:rsidR="00417C83" w:rsidRPr="00FB52F3" w:rsidRDefault="00845CC5" w:rsidP="00845CC5">
      <w:pPr>
        <w:autoSpaceDE w:val="0"/>
        <w:autoSpaceDN w:val="0"/>
        <w:adjustRightInd w:val="0"/>
        <w:spacing w:before="180" w:line="276" w:lineRule="auto"/>
        <w:jc w:val="both"/>
        <w:rPr>
          <w:rFonts w:ascii="ISOCPEUR" w:hAnsi="ISOCPEUR"/>
          <w:b/>
        </w:rPr>
      </w:pPr>
      <w:r w:rsidRPr="00FB52F3">
        <w:rPr>
          <w:rFonts w:ascii="ISOCPEUR" w:hAnsi="ISOCPEUR" w:cs="Arial"/>
        </w:rPr>
        <w:t xml:space="preserve">Únikové cesty budou označeny luminiscenčním značením v souladu s ISO 3864 všude tam, kde není přímo viditelný východ na volné prostranství. Únikové východy budou označeny nápisem únikový východ. </w:t>
      </w:r>
      <w:r w:rsidRPr="00FB52F3">
        <w:rPr>
          <w:rFonts w:ascii="ISOCPEUR" w:hAnsi="ISOCPEUR"/>
        </w:rPr>
        <w:t xml:space="preserve">Veškeré únikové cesty z jednotlivých částí objektu, musí být trvale </w:t>
      </w:r>
      <w:r w:rsidRPr="00FB52F3">
        <w:rPr>
          <w:rFonts w:ascii="ISOCPEUR" w:hAnsi="ISOCPEUR"/>
        </w:rPr>
        <w:lastRenderedPageBreak/>
        <w:t xml:space="preserve">volné, zřetelně označeny a </w:t>
      </w:r>
      <w:proofErr w:type="spellStart"/>
      <w:r w:rsidRPr="00FB52F3">
        <w:rPr>
          <w:rFonts w:ascii="ISOCPEUR" w:hAnsi="ISOCPEUR"/>
        </w:rPr>
        <w:t>vysměrovány</w:t>
      </w:r>
      <w:proofErr w:type="spellEnd"/>
      <w:r w:rsidRPr="00FB52F3">
        <w:rPr>
          <w:rFonts w:ascii="ISOCPEUR" w:hAnsi="ISOCPEUR"/>
        </w:rPr>
        <w:t xml:space="preserve"> dle ČSN ISO 3864-1 (ČSN 01 8013).</w:t>
      </w:r>
      <w:r w:rsidR="00417C83" w:rsidRPr="00FB52F3">
        <w:rPr>
          <w:rFonts w:ascii="ISOCPEUR" w:hAnsi="ISOCPEUR"/>
          <w:b/>
        </w:rPr>
        <w:t xml:space="preserve"> Vstupní dveře na nekrytou část atria budou opatřeny panikovým kováním. </w:t>
      </w:r>
    </w:p>
    <w:p w14:paraId="1B9A1F1A" w14:textId="77777777" w:rsidR="009A7B66" w:rsidRPr="00FB52F3" w:rsidRDefault="009A7B66" w:rsidP="009A7B66">
      <w:pPr>
        <w:tabs>
          <w:tab w:val="left" w:pos="6663"/>
        </w:tabs>
        <w:spacing w:before="120" w:line="276" w:lineRule="auto"/>
        <w:jc w:val="both"/>
        <w:rPr>
          <w:rFonts w:ascii="ISOCPEUR" w:eastAsia="Times New Roman" w:hAnsi="ISOCPEUR" w:cs="Calibri"/>
          <w:b/>
          <w:iCs/>
          <w:lang w:eastAsia="cs-CZ"/>
        </w:rPr>
      </w:pPr>
      <w:r w:rsidRPr="00FB52F3">
        <w:rPr>
          <w:rFonts w:ascii="ISOCPEUR" w:eastAsia="Times New Roman" w:hAnsi="ISOCPEUR" w:cs="Calibri"/>
          <w:b/>
          <w:iCs/>
          <w:lang w:eastAsia="cs-CZ"/>
        </w:rPr>
        <w:t xml:space="preserve">Závěr: </w:t>
      </w:r>
    </w:p>
    <w:p w14:paraId="1B9A1F1B" w14:textId="77777777" w:rsidR="00845CC5" w:rsidRPr="00FB52F3" w:rsidRDefault="00845CC5" w:rsidP="00845CC5">
      <w:pPr>
        <w:spacing w:before="120" w:line="276" w:lineRule="auto"/>
        <w:jc w:val="both"/>
        <w:rPr>
          <w:rFonts w:ascii="ISOCPEUR" w:hAnsi="ISOCPEUR" w:cs="Calibri"/>
          <w:b/>
        </w:rPr>
      </w:pPr>
      <w:r w:rsidRPr="00FB52F3">
        <w:rPr>
          <w:rFonts w:ascii="ISOCPEUR" w:hAnsi="ISOCPEUR" w:cs="Calibri"/>
          <w:b/>
        </w:rPr>
        <w:t>Posuzované únikové možnosti objektu vyhovují požadavkům ČSN 73 080</w:t>
      </w:r>
      <w:r w:rsidR="00FB52F3" w:rsidRPr="00FB52F3">
        <w:rPr>
          <w:rFonts w:ascii="ISOCPEUR" w:hAnsi="ISOCPEUR" w:cs="Calibri"/>
          <w:b/>
        </w:rPr>
        <w:t>2</w:t>
      </w:r>
      <w:r w:rsidRPr="00FB52F3">
        <w:rPr>
          <w:rFonts w:ascii="ISOCPEUR" w:hAnsi="ISOCPEUR" w:cs="Calibri"/>
          <w:b/>
        </w:rPr>
        <w:t xml:space="preserve">. </w:t>
      </w:r>
    </w:p>
    <w:p w14:paraId="1B9A1F1C" w14:textId="77777777" w:rsidR="00845CC5" w:rsidRPr="005B00CC" w:rsidRDefault="00845CC5" w:rsidP="000158E6">
      <w:pPr>
        <w:pStyle w:val="Nadpis1"/>
        <w:rPr>
          <w:rFonts w:ascii="ISOCPEUR" w:hAnsi="ISOCPEUR"/>
        </w:rPr>
      </w:pPr>
      <w:bookmarkStart w:id="69" w:name="_Toc408190"/>
      <w:r w:rsidRPr="005B00CC">
        <w:rPr>
          <w:rFonts w:ascii="ISOCPEUR" w:hAnsi="ISOCPEUR"/>
        </w:rPr>
        <w:t>Stanovení odstupových, popř. bezpečnostních vzdáleností a vymezení požárně nebezpečného prostoru, zhodnocení odstupových vzdáleností ve vztahu k okolní zástavbě, sousedním pozemkům a volným skladům</w:t>
      </w:r>
      <w:bookmarkEnd w:id="69"/>
    </w:p>
    <w:p w14:paraId="1B9A1F1D" w14:textId="77777777" w:rsidR="00AC361C" w:rsidRPr="005B00CC" w:rsidRDefault="00AC361C" w:rsidP="00845CC5">
      <w:pPr>
        <w:autoSpaceDE w:val="0"/>
        <w:autoSpaceDN w:val="0"/>
        <w:adjustRightInd w:val="0"/>
        <w:spacing w:before="120"/>
        <w:jc w:val="both"/>
        <w:rPr>
          <w:rFonts w:ascii="ISOCPEUR" w:hAnsi="ISOCPEUR" w:cs="Calibri"/>
        </w:rPr>
      </w:pPr>
      <w:r w:rsidRPr="005B00CC">
        <w:rPr>
          <w:rFonts w:ascii="ISOCPEUR" w:hAnsi="ISOCPEUR" w:cs="Calibri"/>
        </w:rPr>
        <w:t xml:space="preserve">Rozšířená část zastřešeného atria je bez požárně otevřených </w:t>
      </w:r>
      <w:proofErr w:type="gramStart"/>
      <w:r w:rsidRPr="005B00CC">
        <w:rPr>
          <w:rFonts w:ascii="ISOCPEUR" w:hAnsi="ISOCPEUR" w:cs="Calibri"/>
        </w:rPr>
        <w:t xml:space="preserve">ploch - </w:t>
      </w:r>
      <w:r w:rsidR="005B00CC" w:rsidRPr="005B00CC">
        <w:rPr>
          <w:rFonts w:ascii="ISOCPEUR" w:hAnsi="ISOCPEUR" w:cs="Calibri"/>
        </w:rPr>
        <w:t>bez</w:t>
      </w:r>
      <w:proofErr w:type="gramEnd"/>
      <w:r w:rsidR="005B00CC" w:rsidRPr="005B00CC">
        <w:rPr>
          <w:rFonts w:ascii="ISOCPEUR" w:hAnsi="ISOCPEUR" w:cs="Calibri"/>
        </w:rPr>
        <w:t xml:space="preserve"> nutnosti řešit odstupové vzdálenosti.</w:t>
      </w:r>
    </w:p>
    <w:p w14:paraId="1B9A1F1E" w14:textId="77777777" w:rsidR="00845CC5" w:rsidRPr="005B00CC" w:rsidRDefault="00845CC5" w:rsidP="000158E6">
      <w:pPr>
        <w:pStyle w:val="Nadpis1"/>
        <w:rPr>
          <w:rFonts w:ascii="ISOCPEUR" w:hAnsi="ISOCPEUR"/>
        </w:rPr>
      </w:pPr>
      <w:bookmarkStart w:id="70" w:name="_Toc408191"/>
      <w:bookmarkStart w:id="71" w:name="_Toc389455985"/>
      <w:r w:rsidRPr="005B00CC">
        <w:rPr>
          <w:rFonts w:ascii="ISOCPEUR" w:hAnsi="ISOCPEUR"/>
        </w:rPr>
        <w:t>určení způsobu zabezpečení stavby požární vodou včetně rozmístění vnitřních a vnějších odběrných míst, popřípadě způsobu zabezpečení jiných hasebních prostředků u staveb, kde nelze použít vodu jako hasební látku</w:t>
      </w:r>
      <w:bookmarkEnd w:id="70"/>
    </w:p>
    <w:p w14:paraId="1B9A1F1F" w14:textId="77777777" w:rsidR="00845CC5" w:rsidRPr="002A47F3" w:rsidRDefault="00845CC5" w:rsidP="009A7B66">
      <w:pPr>
        <w:pStyle w:val="Nadpis2"/>
        <w:rPr>
          <w:rFonts w:ascii="ISOCPEUR" w:hAnsi="ISOCPEUR"/>
        </w:rPr>
      </w:pPr>
      <w:bookmarkStart w:id="72" w:name="_Toc408192"/>
      <w:r w:rsidRPr="002A47F3">
        <w:rPr>
          <w:rFonts w:ascii="ISOCPEUR" w:hAnsi="ISOCPEUR"/>
        </w:rPr>
        <w:t>Vnější odběrní místa</w:t>
      </w:r>
      <w:bookmarkEnd w:id="71"/>
      <w:bookmarkEnd w:id="72"/>
    </w:p>
    <w:p w14:paraId="1B9A1F20" w14:textId="77777777" w:rsidR="00845CC5" w:rsidRPr="002A47F3" w:rsidRDefault="002D6D3B" w:rsidP="00845CC5">
      <w:pPr>
        <w:pStyle w:val="StylZkladntextTimesNewRoman12bVpravo01cmdk"/>
        <w:numPr>
          <w:ilvl w:val="0"/>
          <w:numId w:val="0"/>
        </w:numPr>
        <w:spacing w:line="276" w:lineRule="auto"/>
        <w:jc w:val="both"/>
        <w:rPr>
          <w:rFonts w:ascii="ISOCPEUR" w:hAnsi="ISOCPEUR" w:cs="Calibri"/>
        </w:rPr>
      </w:pPr>
      <w:r w:rsidRPr="002A47F3">
        <w:rPr>
          <w:rFonts w:ascii="ISOCPEUR" w:hAnsi="ISOCPEUR" w:cs="Calibri"/>
        </w:rPr>
        <w:t>Navrhovaná př</w:t>
      </w:r>
      <w:r w:rsidR="00C14D20" w:rsidRPr="002A47F3">
        <w:rPr>
          <w:rFonts w:ascii="ISOCPEUR" w:hAnsi="ISOCPEUR" w:cs="Calibri"/>
        </w:rPr>
        <w:t>ístavba</w:t>
      </w:r>
      <w:r w:rsidRPr="002A47F3">
        <w:rPr>
          <w:rFonts w:ascii="ISOCPEUR" w:hAnsi="ISOCPEUR" w:cs="Calibri"/>
        </w:rPr>
        <w:t xml:space="preserve"> nezvyšuje požadavek na stávající způsob zajištění vnější požární vody pro areál</w:t>
      </w:r>
      <w:r w:rsidR="00C14D20" w:rsidRPr="002A47F3">
        <w:rPr>
          <w:rFonts w:ascii="ISOCPEUR" w:hAnsi="ISOCPEUR" w:cs="Calibri"/>
        </w:rPr>
        <w:t xml:space="preserve"> </w:t>
      </w:r>
      <w:proofErr w:type="gramStart"/>
      <w:r w:rsidR="00C14D20" w:rsidRPr="002A47F3">
        <w:rPr>
          <w:rFonts w:ascii="ISOCPEUR" w:hAnsi="ISOCPEUR" w:cs="Calibri"/>
        </w:rPr>
        <w:t>univerzity</w:t>
      </w:r>
      <w:r w:rsidRPr="002A47F3">
        <w:rPr>
          <w:rFonts w:ascii="ISOCPEUR" w:hAnsi="ISOCPEUR" w:cs="Calibri"/>
        </w:rPr>
        <w:t xml:space="preserve"> - toto</w:t>
      </w:r>
      <w:proofErr w:type="gramEnd"/>
      <w:r w:rsidRPr="002A47F3">
        <w:rPr>
          <w:rFonts w:ascii="ISOCPEUR" w:hAnsi="ISOCPEUR" w:cs="Calibri"/>
        </w:rPr>
        <w:t xml:space="preserve"> je zajištěno</w:t>
      </w:r>
      <w:r w:rsidR="00F14E5E" w:rsidRPr="002A47F3">
        <w:rPr>
          <w:rFonts w:ascii="ISOCPEUR" w:hAnsi="ISOCPEUR" w:cs="Calibri"/>
        </w:rPr>
        <w:t xml:space="preserve"> </w:t>
      </w:r>
      <w:r w:rsidR="003C12DE" w:rsidRPr="002A47F3">
        <w:rPr>
          <w:rFonts w:ascii="ISOCPEUR" w:hAnsi="ISOCPEUR" w:cs="Calibri"/>
        </w:rPr>
        <w:t>stávající</w:t>
      </w:r>
      <w:r w:rsidR="00C14D20" w:rsidRPr="002A47F3">
        <w:rPr>
          <w:rFonts w:ascii="ISOCPEUR" w:hAnsi="ISOCPEUR" w:cs="Calibri"/>
        </w:rPr>
        <w:t xml:space="preserve">m hydrantovým systémem městské části - podzemní požární hydrant </w:t>
      </w:r>
      <w:r w:rsidR="002A47F3" w:rsidRPr="002A47F3">
        <w:rPr>
          <w:rFonts w:ascii="ISOCPEUR" w:hAnsi="ISOCPEUR" w:cs="Calibri"/>
        </w:rPr>
        <w:t>na DN 100 na ul. Riegrova, ul. Mírová, Bezručovo nám. a ul. Na Rybníčku</w:t>
      </w:r>
      <w:r w:rsidR="00845CC5" w:rsidRPr="002A47F3">
        <w:rPr>
          <w:rFonts w:ascii="ISOCPEUR" w:hAnsi="ISOCPEUR" w:cs="Calibri"/>
        </w:rPr>
        <w:t>.</w:t>
      </w:r>
    </w:p>
    <w:p w14:paraId="1B9A1F21" w14:textId="77777777" w:rsidR="00845CC5" w:rsidRPr="002A47F3" w:rsidRDefault="00845CC5" w:rsidP="009A7B66">
      <w:pPr>
        <w:pStyle w:val="Nadpis2"/>
        <w:rPr>
          <w:rFonts w:ascii="ISOCPEUR" w:hAnsi="ISOCPEUR"/>
        </w:rPr>
      </w:pPr>
      <w:bookmarkStart w:id="73" w:name="_Toc389455986"/>
      <w:bookmarkStart w:id="74" w:name="_Toc408193"/>
      <w:r w:rsidRPr="002A47F3">
        <w:rPr>
          <w:rFonts w:ascii="ISOCPEUR" w:hAnsi="ISOCPEUR"/>
        </w:rPr>
        <w:t>Vnitřní odběrní místa</w:t>
      </w:r>
      <w:bookmarkEnd w:id="73"/>
      <w:bookmarkEnd w:id="74"/>
    </w:p>
    <w:p w14:paraId="1B9A1F22" w14:textId="77777777" w:rsidR="002D6D3B" w:rsidRPr="002A47F3" w:rsidRDefault="002D6D3B" w:rsidP="00845CC5">
      <w:pPr>
        <w:spacing w:line="276" w:lineRule="auto"/>
        <w:jc w:val="both"/>
        <w:rPr>
          <w:rFonts w:ascii="ISOCPEUR" w:hAnsi="ISOCPEUR" w:cs="Arial"/>
          <w:b/>
        </w:rPr>
      </w:pPr>
      <w:r w:rsidRPr="002A47F3">
        <w:rPr>
          <w:rFonts w:ascii="ISOCPEUR" w:hAnsi="ISOCPEUR" w:cs="Arial"/>
        </w:rPr>
        <w:t>Stávající</w:t>
      </w:r>
      <w:r w:rsidR="002A47F3" w:rsidRPr="002A47F3">
        <w:rPr>
          <w:rFonts w:ascii="ISOCPEUR" w:hAnsi="ISOCPEUR" w:cs="Arial"/>
        </w:rPr>
        <w:t xml:space="preserve"> požární úsek je vybaven systémem vnitřního požárního hydrantu, který svou účinností pokrývá též zastřešené atrium</w:t>
      </w:r>
      <w:r w:rsidR="00135193" w:rsidRPr="002A47F3">
        <w:rPr>
          <w:rFonts w:ascii="ISOCPEUR" w:hAnsi="ISOCPEUR" w:cs="Arial"/>
          <w:b/>
        </w:rPr>
        <w:t>.</w:t>
      </w:r>
      <w:r w:rsidRPr="002A47F3">
        <w:rPr>
          <w:rFonts w:ascii="ISOCPEUR" w:hAnsi="ISOCPEUR" w:cs="Arial"/>
          <w:b/>
        </w:rPr>
        <w:t xml:space="preserve"> </w:t>
      </w:r>
    </w:p>
    <w:p w14:paraId="1B9A1F23" w14:textId="77777777" w:rsidR="00845CC5" w:rsidRPr="002A47F3" w:rsidRDefault="00845CC5" w:rsidP="002D6D3B">
      <w:pPr>
        <w:pStyle w:val="Nadpis1"/>
        <w:rPr>
          <w:rFonts w:ascii="ISOCPEUR" w:hAnsi="ISOCPEUR"/>
        </w:rPr>
      </w:pPr>
      <w:bookmarkStart w:id="75" w:name="_Toc401298362"/>
      <w:bookmarkStart w:id="76" w:name="_Toc408194"/>
      <w:bookmarkStart w:id="77" w:name="_Toc357258449"/>
      <w:bookmarkStart w:id="78" w:name="_Toc389455988"/>
      <w:r w:rsidRPr="002A47F3">
        <w:rPr>
          <w:rFonts w:ascii="ISOCPEUR" w:hAnsi="ISOCPEUR"/>
        </w:rPr>
        <w:t>Vybavení zásahových cest a jejich technického vybavení, opatření k zajištění bezpečnosti osob provádějících hašení požáru a záchranné práce, zhodnocení příjezdových komunikací, popř. nástupních ploch pro požární techniku</w:t>
      </w:r>
      <w:bookmarkEnd w:id="75"/>
      <w:bookmarkEnd w:id="76"/>
    </w:p>
    <w:p w14:paraId="1B9A1F24" w14:textId="77777777" w:rsidR="00845CC5" w:rsidRPr="002A47F3" w:rsidRDefault="00845CC5" w:rsidP="009A7B66">
      <w:pPr>
        <w:pStyle w:val="Nadpis2"/>
        <w:rPr>
          <w:rFonts w:ascii="ISOCPEUR" w:hAnsi="ISOCPEUR"/>
        </w:rPr>
      </w:pPr>
      <w:bookmarkStart w:id="79" w:name="_Toc408195"/>
      <w:r w:rsidRPr="002A47F3">
        <w:rPr>
          <w:rFonts w:ascii="ISOCPEUR" w:hAnsi="ISOCPEUR"/>
        </w:rPr>
        <w:t>Zásahové cesty</w:t>
      </w:r>
      <w:bookmarkEnd w:id="77"/>
      <w:bookmarkEnd w:id="78"/>
      <w:bookmarkEnd w:id="79"/>
    </w:p>
    <w:p w14:paraId="1B9A1F25" w14:textId="77777777" w:rsidR="00845CC5" w:rsidRPr="007E6FBE" w:rsidRDefault="002A47F3" w:rsidP="00845CC5">
      <w:pPr>
        <w:spacing w:before="120" w:line="276" w:lineRule="auto"/>
        <w:jc w:val="both"/>
        <w:rPr>
          <w:rFonts w:ascii="ISOCPEUR" w:hAnsi="ISOCPEUR" w:cs="Calibri"/>
        </w:rPr>
      </w:pPr>
      <w:bookmarkStart w:id="80" w:name="_Toc357258451"/>
      <w:r w:rsidRPr="007E6FBE">
        <w:rPr>
          <w:rFonts w:ascii="ISOCPEUR" w:hAnsi="ISOCPEUR" w:cs="Calibri"/>
        </w:rPr>
        <w:t>Stávající beze změn, není nutné řešit</w:t>
      </w:r>
      <w:r w:rsidR="00A61092" w:rsidRPr="007E6FBE">
        <w:rPr>
          <w:rFonts w:ascii="ISOCPEUR" w:hAnsi="ISOCPEUR" w:cs="Calibri"/>
        </w:rPr>
        <w:t>.</w:t>
      </w:r>
    </w:p>
    <w:p w14:paraId="1B9A1F26" w14:textId="77777777" w:rsidR="00845CC5" w:rsidRPr="007E6FBE" w:rsidRDefault="00845CC5" w:rsidP="009A7B66">
      <w:pPr>
        <w:pStyle w:val="Nadpis2"/>
        <w:rPr>
          <w:rFonts w:ascii="ISOCPEUR" w:hAnsi="ISOCPEUR"/>
        </w:rPr>
      </w:pPr>
      <w:bookmarkStart w:id="81" w:name="_Toc389455989"/>
      <w:bookmarkStart w:id="82" w:name="_Toc408196"/>
      <w:r w:rsidRPr="007E6FBE">
        <w:rPr>
          <w:rFonts w:ascii="ISOCPEUR" w:hAnsi="ISOCPEUR"/>
        </w:rPr>
        <w:t>Příjezdové a přístupové komunikace</w:t>
      </w:r>
      <w:bookmarkEnd w:id="80"/>
      <w:bookmarkEnd w:id="81"/>
      <w:bookmarkEnd w:id="82"/>
    </w:p>
    <w:p w14:paraId="1B9A1F27" w14:textId="77777777" w:rsidR="002A47F3" w:rsidRPr="007E6FBE" w:rsidRDefault="002A47F3" w:rsidP="002A47F3">
      <w:pPr>
        <w:spacing w:before="120" w:line="276" w:lineRule="auto"/>
        <w:jc w:val="both"/>
        <w:rPr>
          <w:rFonts w:ascii="ISOCPEUR" w:hAnsi="ISOCPEUR" w:cs="Calibri"/>
        </w:rPr>
      </w:pPr>
      <w:bookmarkStart w:id="83" w:name="_Toc357258452"/>
      <w:r w:rsidRPr="007E6FBE">
        <w:rPr>
          <w:rFonts w:ascii="ISOCPEUR" w:hAnsi="ISOCPEUR" w:cs="Calibri"/>
        </w:rPr>
        <w:t>Stávající beze změn, není nutné řešit.</w:t>
      </w:r>
    </w:p>
    <w:p w14:paraId="1B9A1F28" w14:textId="77777777" w:rsidR="00845CC5" w:rsidRPr="007E6FBE" w:rsidRDefault="00845CC5" w:rsidP="009A7B66">
      <w:pPr>
        <w:pStyle w:val="Nadpis2"/>
        <w:rPr>
          <w:rFonts w:ascii="ISOCPEUR" w:hAnsi="ISOCPEUR"/>
        </w:rPr>
      </w:pPr>
      <w:bookmarkStart w:id="84" w:name="_Toc389455990"/>
      <w:bookmarkStart w:id="85" w:name="_Toc408197"/>
      <w:r w:rsidRPr="007E6FBE">
        <w:rPr>
          <w:rFonts w:ascii="ISOCPEUR" w:hAnsi="ISOCPEUR"/>
        </w:rPr>
        <w:t>Nástupní plocha</w:t>
      </w:r>
      <w:bookmarkEnd w:id="83"/>
      <w:bookmarkEnd w:id="84"/>
      <w:bookmarkEnd w:id="85"/>
    </w:p>
    <w:p w14:paraId="1B9A1F29" w14:textId="77777777" w:rsidR="002A47F3" w:rsidRPr="007E6FBE" w:rsidRDefault="002A47F3" w:rsidP="002A47F3">
      <w:pPr>
        <w:spacing w:before="120" w:line="276" w:lineRule="auto"/>
        <w:jc w:val="both"/>
        <w:rPr>
          <w:rFonts w:ascii="ISOCPEUR" w:hAnsi="ISOCPEUR" w:cs="Calibri"/>
        </w:rPr>
      </w:pPr>
      <w:bookmarkStart w:id="86" w:name="_Toc401298367"/>
      <w:r w:rsidRPr="007E6FBE">
        <w:rPr>
          <w:rFonts w:ascii="ISOCPEUR" w:hAnsi="ISOCPEUR" w:cs="Calibri"/>
        </w:rPr>
        <w:t>Stávající beze změn, není nutné řešit.</w:t>
      </w:r>
    </w:p>
    <w:p w14:paraId="1B9A1F2A" w14:textId="77777777" w:rsidR="00845CC5" w:rsidRPr="007E6FBE" w:rsidRDefault="00845CC5" w:rsidP="00A61092">
      <w:pPr>
        <w:pStyle w:val="Nadpis1"/>
        <w:rPr>
          <w:rFonts w:ascii="ISOCPEUR" w:hAnsi="ISOCPEUR"/>
        </w:rPr>
      </w:pPr>
      <w:bookmarkStart w:id="87" w:name="_Toc408198"/>
      <w:r w:rsidRPr="007E6FBE">
        <w:rPr>
          <w:rFonts w:ascii="ISOCPEUR" w:hAnsi="ISOCPEUR"/>
        </w:rPr>
        <w:lastRenderedPageBreak/>
        <w:t>Stanovení počtu, druhů a způsobu rozmístění hasicích přístrojů, popřípadě dalších věcných prostředků požární ochrany nebo požární techniky</w:t>
      </w:r>
      <w:bookmarkEnd w:id="86"/>
      <w:bookmarkEnd w:id="87"/>
      <w:r w:rsidRPr="007E6FBE">
        <w:rPr>
          <w:rFonts w:ascii="ISOCPEUR" w:hAnsi="ISOCPEUR"/>
          <w:caps/>
          <w:szCs w:val="24"/>
        </w:rPr>
        <w:t xml:space="preserve"> </w:t>
      </w:r>
    </w:p>
    <w:p w14:paraId="1B9A1F2B" w14:textId="77777777" w:rsidR="00845CC5" w:rsidRPr="007E6FBE" w:rsidRDefault="00845CC5" w:rsidP="009A7B66">
      <w:pPr>
        <w:pStyle w:val="Nadpis2"/>
        <w:rPr>
          <w:rFonts w:ascii="ISOCPEUR" w:hAnsi="ISOCPEUR"/>
        </w:rPr>
      </w:pPr>
      <w:bookmarkStart w:id="88" w:name="_Toc357258454"/>
      <w:bookmarkStart w:id="89" w:name="_Toc389455992"/>
      <w:bookmarkStart w:id="90" w:name="_Toc408199"/>
      <w:r w:rsidRPr="007E6FBE">
        <w:rPr>
          <w:rFonts w:ascii="ISOCPEUR" w:hAnsi="ISOCPEUR"/>
        </w:rPr>
        <w:t>Přenosné hasicí přístroje</w:t>
      </w:r>
      <w:bookmarkEnd w:id="88"/>
      <w:bookmarkEnd w:id="89"/>
      <w:bookmarkEnd w:id="90"/>
    </w:p>
    <w:p w14:paraId="1B9A1F2C" w14:textId="77777777" w:rsidR="00845CC5" w:rsidRPr="007E6FBE" w:rsidRDefault="00215246" w:rsidP="00A61092">
      <w:pPr>
        <w:spacing w:before="120" w:line="276" w:lineRule="auto"/>
        <w:jc w:val="both"/>
        <w:rPr>
          <w:rFonts w:ascii="ISOCPEUR" w:hAnsi="ISOCPEUR" w:cs="Calibri"/>
          <w:b/>
        </w:rPr>
      </w:pPr>
      <w:r w:rsidRPr="007E6FBE">
        <w:rPr>
          <w:rFonts w:ascii="ISOCPEUR" w:hAnsi="ISOCPEUR" w:cs="Calibri"/>
          <w:b/>
        </w:rPr>
        <w:t>Celý nově rozšířený požární úsek</w:t>
      </w:r>
      <w:r w:rsidR="00A61092" w:rsidRPr="007E6FBE">
        <w:rPr>
          <w:rFonts w:ascii="ISOCPEUR" w:hAnsi="ISOCPEUR" w:cs="Calibri"/>
          <w:b/>
        </w:rPr>
        <w:t xml:space="preserve"> bude vybavena min. </w:t>
      </w:r>
      <w:r w:rsidR="007E6FBE" w:rsidRPr="007E6FBE">
        <w:rPr>
          <w:rFonts w:ascii="ISOCPEUR" w:hAnsi="ISOCPEUR" w:cs="Calibri"/>
          <w:b/>
        </w:rPr>
        <w:t>4</w:t>
      </w:r>
      <w:r w:rsidR="00A61092" w:rsidRPr="007E6FBE">
        <w:rPr>
          <w:rFonts w:ascii="ISOCPEUR" w:hAnsi="ISOCPEUR" w:cs="Calibri"/>
          <w:b/>
        </w:rPr>
        <w:t xml:space="preserve">ks přenosného hasícího přístroje s 6kg hasiva a hasební schopností min. </w:t>
      </w:r>
      <w:proofErr w:type="gramStart"/>
      <w:r w:rsidR="00A61092" w:rsidRPr="007E6FBE">
        <w:rPr>
          <w:rFonts w:ascii="ISOCPEUR" w:hAnsi="ISOCPEUR" w:cs="Calibri"/>
          <w:b/>
        </w:rPr>
        <w:t>21A</w:t>
      </w:r>
      <w:proofErr w:type="gramEnd"/>
      <w:r w:rsidR="00A61092" w:rsidRPr="007E6FBE">
        <w:rPr>
          <w:rFonts w:ascii="ISOCPEUR" w:hAnsi="ISOCPEUR" w:cs="Calibri"/>
          <w:b/>
        </w:rPr>
        <w:t xml:space="preserve">. </w:t>
      </w:r>
    </w:p>
    <w:p w14:paraId="1B9A1F2D" w14:textId="77777777" w:rsidR="00845CC5" w:rsidRPr="007E6FBE" w:rsidRDefault="00845CC5" w:rsidP="00845CC5">
      <w:pPr>
        <w:autoSpaceDE w:val="0"/>
        <w:autoSpaceDN w:val="0"/>
        <w:adjustRightInd w:val="0"/>
        <w:spacing w:line="276" w:lineRule="auto"/>
        <w:jc w:val="both"/>
        <w:rPr>
          <w:rFonts w:ascii="ISOCPEUR" w:eastAsia="Times New Roman" w:hAnsi="ISOCPEUR" w:cs="Calibri"/>
          <w:lang w:eastAsia="cs-CZ"/>
        </w:rPr>
      </w:pPr>
      <w:r w:rsidRPr="007E6FBE">
        <w:rPr>
          <w:rFonts w:ascii="ISOCPEUR" w:eastAsia="Times New Roman" w:hAnsi="ISOCPEUR" w:cs="Calibri"/>
          <w:lang w:eastAsia="cs-CZ"/>
        </w:rPr>
        <w:t>Přenosné hasicí přístroje musí být instalovány na dobře přístupném místě tak, aby se rukojeť přístroje nacházela max. 1,5 m nad podlahou. Hasicí přístroje musí být zajištěny proti pádu.</w:t>
      </w:r>
    </w:p>
    <w:p w14:paraId="1B9A1F2E" w14:textId="77777777" w:rsidR="00845CC5" w:rsidRPr="006A66E3" w:rsidRDefault="00845CC5" w:rsidP="00A61092">
      <w:pPr>
        <w:pStyle w:val="Nadpis1"/>
        <w:rPr>
          <w:rFonts w:ascii="ISOCPEUR" w:hAnsi="ISOCPEUR"/>
        </w:rPr>
      </w:pPr>
      <w:bookmarkStart w:id="91" w:name="_Toc401298369"/>
      <w:bookmarkStart w:id="92" w:name="_Toc408200"/>
      <w:bookmarkStart w:id="93" w:name="_Toc23569130"/>
      <w:bookmarkStart w:id="94" w:name="_Toc260732440"/>
      <w:bookmarkStart w:id="95" w:name="_Toc389455994"/>
      <w:r w:rsidRPr="006A66E3">
        <w:rPr>
          <w:rFonts w:ascii="ISOCPEUR" w:hAnsi="ISOCPEUR"/>
        </w:rPr>
        <w:t>Zhodnocení technických, popř. technologických zařízení stavby (rozvodná potrubí, vzduchotechnická zařízení, vytápění apod.) z hlediska požadavků požární bezpečnosti</w:t>
      </w:r>
      <w:bookmarkEnd w:id="91"/>
      <w:bookmarkEnd w:id="92"/>
    </w:p>
    <w:p w14:paraId="1B9A1F2F" w14:textId="77777777" w:rsidR="00845CC5" w:rsidRPr="006A66E3" w:rsidRDefault="00845CC5" w:rsidP="009A7B66">
      <w:pPr>
        <w:pStyle w:val="Nadpis2"/>
        <w:rPr>
          <w:rFonts w:ascii="ISOCPEUR" w:hAnsi="ISOCPEUR"/>
        </w:rPr>
      </w:pPr>
      <w:bookmarkStart w:id="96" w:name="_Toc260732441"/>
      <w:bookmarkStart w:id="97" w:name="_Toc389455995"/>
      <w:bookmarkStart w:id="98" w:name="_Toc408201"/>
      <w:bookmarkEnd w:id="93"/>
      <w:bookmarkEnd w:id="94"/>
      <w:bookmarkEnd w:id="95"/>
      <w:r w:rsidRPr="006A66E3">
        <w:rPr>
          <w:rFonts w:ascii="ISOCPEUR" w:hAnsi="ISOCPEUR"/>
        </w:rPr>
        <w:t>Elektroinstalace</w:t>
      </w:r>
      <w:bookmarkEnd w:id="96"/>
      <w:bookmarkEnd w:id="97"/>
      <w:bookmarkEnd w:id="98"/>
    </w:p>
    <w:p w14:paraId="1B9A1F30" w14:textId="77777777" w:rsidR="00845CC5" w:rsidRPr="006A66E3" w:rsidRDefault="00845CC5" w:rsidP="00845CC5">
      <w:pPr>
        <w:spacing w:line="276" w:lineRule="auto"/>
        <w:jc w:val="both"/>
        <w:rPr>
          <w:rFonts w:ascii="ISOCPEUR" w:hAnsi="ISOCPEUR" w:cs="Calibri"/>
        </w:rPr>
      </w:pPr>
      <w:r w:rsidRPr="006A66E3">
        <w:rPr>
          <w:rFonts w:ascii="ISOCPEUR" w:hAnsi="ISOCPEUR" w:cs="Calibri"/>
          <w:u w:val="single"/>
        </w:rPr>
        <w:t xml:space="preserve">Pro všechny </w:t>
      </w:r>
      <w:r w:rsidR="006A66E3" w:rsidRPr="006A66E3">
        <w:rPr>
          <w:rFonts w:ascii="ISOCPEUR" w:hAnsi="ISOCPEUR" w:cs="Calibri"/>
          <w:u w:val="single"/>
        </w:rPr>
        <w:t xml:space="preserve">nové </w:t>
      </w:r>
      <w:r w:rsidRPr="006A66E3">
        <w:rPr>
          <w:rFonts w:ascii="ISOCPEUR" w:hAnsi="ISOCPEUR" w:cs="Calibri"/>
          <w:u w:val="single"/>
        </w:rPr>
        <w:t>prostory budou určeny vnější vlivy</w:t>
      </w:r>
      <w:r w:rsidRPr="006A66E3">
        <w:rPr>
          <w:rFonts w:ascii="ISOCPEUR" w:hAnsi="ISOCPEUR" w:cs="Calibri"/>
        </w:rPr>
        <w:t xml:space="preserve"> dle ČSN 33 2000-5-51 </w:t>
      </w:r>
      <w:proofErr w:type="spellStart"/>
      <w:r w:rsidRPr="006A66E3">
        <w:rPr>
          <w:rFonts w:ascii="ISOCPEUR" w:hAnsi="ISOCPEUR" w:cs="Calibri"/>
        </w:rPr>
        <w:t>ed</w:t>
      </w:r>
      <w:proofErr w:type="spellEnd"/>
      <w:r w:rsidRPr="006A66E3">
        <w:rPr>
          <w:rFonts w:ascii="ISOCPEUR" w:hAnsi="ISOCPEUR" w:cs="Calibri"/>
        </w:rPr>
        <w:t>. 3. O určení vnějších vlivů a o opatřeních, která určené vnější vlivy podmiňují, musí být písemný doklad, protokol o určení vněj</w:t>
      </w:r>
      <w:r w:rsidRPr="006A66E3">
        <w:rPr>
          <w:rFonts w:ascii="ISOCPEUR" w:hAnsi="ISOCPEUR" w:cs="Calibri"/>
        </w:rPr>
        <w:softHyphen/>
        <w:t xml:space="preserve">ších vlivů (Příloha NB ČSN 33 2000-5-51 </w:t>
      </w:r>
      <w:proofErr w:type="spellStart"/>
      <w:r w:rsidRPr="006A66E3">
        <w:rPr>
          <w:rFonts w:ascii="ISOCPEUR" w:hAnsi="ISOCPEUR" w:cs="Calibri"/>
        </w:rPr>
        <w:t>ed</w:t>
      </w:r>
      <w:proofErr w:type="spellEnd"/>
      <w:r w:rsidRPr="006A66E3">
        <w:rPr>
          <w:rFonts w:ascii="ISOCPEUR" w:hAnsi="ISOCPEUR" w:cs="Calibri"/>
        </w:rPr>
        <w:t>. 3:2009). Protokol je součástí dokladové části dokumentace, která musí být po dobu životnosti zařízení, provozu či objektu ulože</w:t>
      </w:r>
      <w:r w:rsidRPr="006A66E3">
        <w:rPr>
          <w:rFonts w:ascii="ISOCPEUR" w:hAnsi="ISOCPEUR" w:cs="Calibri"/>
        </w:rPr>
        <w:softHyphen/>
        <w:t>na a předkládána při periodických či jiných revizích elektrického zařízení.</w:t>
      </w:r>
    </w:p>
    <w:p w14:paraId="1B9A1F31" w14:textId="77777777" w:rsidR="00845CC5" w:rsidRPr="006A66E3" w:rsidRDefault="00845CC5" w:rsidP="00845CC5">
      <w:pPr>
        <w:autoSpaceDE w:val="0"/>
        <w:autoSpaceDN w:val="0"/>
        <w:adjustRightInd w:val="0"/>
        <w:jc w:val="both"/>
        <w:rPr>
          <w:rFonts w:ascii="ISOCPEUR" w:hAnsi="ISOCPEUR" w:cs="Calibri"/>
          <w:b/>
        </w:rPr>
      </w:pPr>
      <w:r w:rsidRPr="006A66E3">
        <w:rPr>
          <w:rFonts w:ascii="ISOCPEUR" w:hAnsi="ISOCPEUR" w:cs="Calibri"/>
          <w:b/>
        </w:rPr>
        <w:t>Elektrická zařízení budou instalována v souladu se stanoveným prostředím a elektroinstalace bude revidována bez závad. Před uvedením objektu do užívání bude zpracován protokol o revizi elektrických zařízení v posuzovaných prostorách.</w:t>
      </w:r>
    </w:p>
    <w:p w14:paraId="1B9A1F32" w14:textId="77777777" w:rsidR="00845CC5" w:rsidRPr="008B266D" w:rsidRDefault="00F76FCE" w:rsidP="006A66E3">
      <w:pPr>
        <w:pStyle w:val="Nadpis2"/>
        <w:rPr>
          <w:rFonts w:ascii="ISOCPEUR" w:hAnsi="ISOCPEUR"/>
        </w:rPr>
      </w:pPr>
      <w:r w:rsidRPr="008B266D">
        <w:rPr>
          <w:rFonts w:ascii="ISOCPEUR" w:hAnsi="ISOCPEUR"/>
        </w:rPr>
        <w:t xml:space="preserve"> </w:t>
      </w:r>
      <w:bookmarkStart w:id="99" w:name="_Toc408202"/>
      <w:r w:rsidR="00845CC5" w:rsidRPr="008B266D">
        <w:rPr>
          <w:rFonts w:ascii="ISOCPEUR" w:hAnsi="ISOCPEUR"/>
        </w:rPr>
        <w:t>Vytápění</w:t>
      </w:r>
      <w:bookmarkEnd w:id="99"/>
    </w:p>
    <w:p w14:paraId="1B9A1F33" w14:textId="77777777" w:rsidR="00752DE5" w:rsidRPr="008B266D" w:rsidRDefault="00FC2AAB" w:rsidP="00752DE5">
      <w:pPr>
        <w:autoSpaceDE w:val="0"/>
        <w:autoSpaceDN w:val="0"/>
        <w:adjustRightInd w:val="0"/>
        <w:jc w:val="both"/>
        <w:rPr>
          <w:rFonts w:ascii="ISOCPEUR" w:hAnsi="ISOCPEUR" w:cs="Calibri"/>
        </w:rPr>
      </w:pPr>
      <w:r w:rsidRPr="008B266D">
        <w:rPr>
          <w:rFonts w:ascii="ISOCPEUR" w:hAnsi="ISOCPEUR" w:cs="Calibri"/>
        </w:rPr>
        <w:t xml:space="preserve">Stávající; bez nově instalovaného </w:t>
      </w:r>
      <w:proofErr w:type="gramStart"/>
      <w:r w:rsidRPr="008B266D">
        <w:rPr>
          <w:rFonts w:ascii="ISOCPEUR" w:hAnsi="ISOCPEUR" w:cs="Calibri"/>
        </w:rPr>
        <w:t>zdroje - není</w:t>
      </w:r>
      <w:proofErr w:type="gramEnd"/>
      <w:r w:rsidRPr="008B266D">
        <w:rPr>
          <w:rFonts w:ascii="ISOCPEUR" w:hAnsi="ISOCPEUR" w:cs="Calibri"/>
        </w:rPr>
        <w:t xml:space="preserve"> nutné řešit</w:t>
      </w:r>
      <w:r w:rsidR="00752DE5" w:rsidRPr="008B266D">
        <w:rPr>
          <w:rFonts w:ascii="ISOCPEUR" w:hAnsi="ISOCPEUR" w:cs="Calibri"/>
        </w:rPr>
        <w:t>.</w:t>
      </w:r>
    </w:p>
    <w:p w14:paraId="1B9A1F34" w14:textId="77777777" w:rsidR="00FC2AAB" w:rsidRPr="008B266D" w:rsidRDefault="00FC2AAB" w:rsidP="00FC2AAB">
      <w:pPr>
        <w:pStyle w:val="Nadpis2"/>
        <w:numPr>
          <w:ilvl w:val="1"/>
          <w:numId w:val="20"/>
        </w:numPr>
        <w:rPr>
          <w:rFonts w:ascii="ISOCPEUR" w:hAnsi="ISOCPEUR"/>
        </w:rPr>
      </w:pPr>
      <w:bookmarkStart w:id="100" w:name="_Toc408203"/>
      <w:r w:rsidRPr="008B266D">
        <w:rPr>
          <w:rFonts w:ascii="ISOCPEUR" w:hAnsi="ISOCPEUR"/>
        </w:rPr>
        <w:t>Větrání</w:t>
      </w:r>
      <w:bookmarkEnd w:id="100"/>
    </w:p>
    <w:p w14:paraId="1B9A1F35" w14:textId="77777777" w:rsidR="00FC2AAB" w:rsidRPr="008B266D" w:rsidRDefault="00FC2AAB" w:rsidP="00FC2AAB">
      <w:pPr>
        <w:autoSpaceDE w:val="0"/>
        <w:autoSpaceDN w:val="0"/>
        <w:adjustRightInd w:val="0"/>
        <w:jc w:val="both"/>
        <w:rPr>
          <w:rFonts w:ascii="ISOCPEUR" w:hAnsi="ISOCPEUR" w:cs="Calibri"/>
        </w:rPr>
      </w:pPr>
      <w:r w:rsidRPr="008B266D">
        <w:rPr>
          <w:rFonts w:ascii="ISOCPEUR" w:hAnsi="ISOCPEUR" w:cs="Calibri"/>
        </w:rPr>
        <w:t xml:space="preserve">Prostor zastřešeného atria bude větrán nově instalovanou VZT jednotkou umístěnou v garáži pod úrovní řešeného </w:t>
      </w:r>
      <w:proofErr w:type="gramStart"/>
      <w:r w:rsidRPr="008B266D">
        <w:rPr>
          <w:rFonts w:ascii="ISOCPEUR" w:hAnsi="ISOCPEUR" w:cs="Calibri"/>
        </w:rPr>
        <w:t>zastřešení - VZT</w:t>
      </w:r>
      <w:proofErr w:type="gramEnd"/>
      <w:r w:rsidRPr="008B266D">
        <w:rPr>
          <w:rFonts w:ascii="ISOCPEUR" w:hAnsi="ISOCPEUR" w:cs="Calibri"/>
        </w:rPr>
        <w:t xml:space="preserve"> rozvody budou vedeny kovovým </w:t>
      </w:r>
      <w:proofErr w:type="spellStart"/>
      <w:r w:rsidRPr="008B266D">
        <w:rPr>
          <w:rFonts w:ascii="ISOCPEUR" w:hAnsi="ISOCPEUR" w:cs="Calibri"/>
        </w:rPr>
        <w:t>spiro</w:t>
      </w:r>
      <w:proofErr w:type="spellEnd"/>
      <w:r w:rsidRPr="008B266D">
        <w:rPr>
          <w:rFonts w:ascii="ISOCPEUR" w:hAnsi="ISOCPEUR" w:cs="Calibri"/>
        </w:rPr>
        <w:t xml:space="preserve"> potrubím o průřezu do 200mm, vzdáleným od sebe více jak 500mm - bez nutnosti osadit požární klapky (čl. 4.2.1, ČSN 73 0802).</w:t>
      </w:r>
    </w:p>
    <w:p w14:paraId="1B9A1F36" w14:textId="77777777" w:rsidR="008B266D" w:rsidRPr="008B266D" w:rsidRDefault="008B266D" w:rsidP="00FC2AAB">
      <w:pPr>
        <w:autoSpaceDE w:val="0"/>
        <w:autoSpaceDN w:val="0"/>
        <w:adjustRightInd w:val="0"/>
        <w:jc w:val="both"/>
        <w:rPr>
          <w:rFonts w:ascii="ISOCPEUR" w:hAnsi="ISOCPEUR" w:cs="Calibri"/>
          <w:b/>
        </w:rPr>
      </w:pPr>
      <w:r w:rsidRPr="008B266D">
        <w:rPr>
          <w:rFonts w:ascii="ISOCPEUR" w:hAnsi="ISOCPEUR" w:cs="Calibri"/>
          <w:b/>
        </w:rPr>
        <w:t>Nově Instalovaná VZT jednotka bude v případě požáru vypnuta stávající a nově doplněným systémem EPS, tak aby zbytečně případný požár nepodporovala.</w:t>
      </w:r>
    </w:p>
    <w:p w14:paraId="1B9A1F37" w14:textId="77777777" w:rsidR="00845CC5" w:rsidRPr="008B266D" w:rsidRDefault="00845CC5" w:rsidP="00A61092">
      <w:pPr>
        <w:pStyle w:val="Nadpis1"/>
        <w:rPr>
          <w:rFonts w:ascii="ISOCPEUR" w:hAnsi="ISOCPEUR"/>
        </w:rPr>
      </w:pPr>
      <w:bookmarkStart w:id="101" w:name="_Toc401298373"/>
      <w:bookmarkStart w:id="102" w:name="_Toc408204"/>
      <w:bookmarkStart w:id="103" w:name="_Toc264976063"/>
      <w:bookmarkStart w:id="104" w:name="_Toc297465467"/>
      <w:bookmarkStart w:id="105" w:name="_Toc365319048"/>
      <w:bookmarkStart w:id="106" w:name="_Toc376696939"/>
      <w:bookmarkStart w:id="107" w:name="_Toc389456004"/>
      <w:r w:rsidRPr="008B266D">
        <w:rPr>
          <w:rFonts w:ascii="ISOCPEUR" w:hAnsi="ISOCPEUR"/>
        </w:rPr>
        <w:t>Stanovení zvláštních požadavků na zvýšení požární odolnosti stavebních konstrukcí nebo snížení hořlavosti stavebních hmot</w:t>
      </w:r>
      <w:bookmarkEnd w:id="101"/>
      <w:bookmarkEnd w:id="102"/>
    </w:p>
    <w:p w14:paraId="1B9A1F38" w14:textId="77777777" w:rsidR="00845CC5" w:rsidRPr="008B266D" w:rsidRDefault="00845CC5" w:rsidP="00845CC5">
      <w:pPr>
        <w:rPr>
          <w:rFonts w:ascii="ISOCPEUR" w:hAnsi="ISOCPEUR"/>
        </w:rPr>
      </w:pPr>
      <w:r w:rsidRPr="008B266D">
        <w:rPr>
          <w:rFonts w:ascii="ISOCPEUR" w:hAnsi="ISOCPEUR"/>
        </w:rPr>
        <w:t>Bez požadavků.</w:t>
      </w:r>
    </w:p>
    <w:p w14:paraId="1B9A1F39" w14:textId="77777777" w:rsidR="00845CC5" w:rsidRPr="008B266D" w:rsidRDefault="00845CC5" w:rsidP="00A61092">
      <w:pPr>
        <w:pStyle w:val="Nadpis1"/>
        <w:rPr>
          <w:rFonts w:ascii="ISOCPEUR" w:hAnsi="ISOCPEUR"/>
        </w:rPr>
      </w:pPr>
      <w:bookmarkStart w:id="108" w:name="_Toc401298374"/>
      <w:bookmarkStart w:id="109" w:name="_Toc408205"/>
      <w:r w:rsidRPr="008B266D">
        <w:rPr>
          <w:rFonts w:ascii="ISOCPEUR" w:hAnsi="ISOCPEUR"/>
        </w:rPr>
        <w:t xml:space="preserve">Posouzení požadavků na zabezpečení stavby požárně bezpečnostními zařízeními, následně stanovení podmínek a návrh </w:t>
      </w:r>
      <w:proofErr w:type="spellStart"/>
      <w:r w:rsidRPr="008B266D">
        <w:rPr>
          <w:rFonts w:ascii="ISOCPEUR" w:hAnsi="ISOCPEUR"/>
        </w:rPr>
        <w:t>způsobou</w:t>
      </w:r>
      <w:proofErr w:type="spellEnd"/>
      <w:r w:rsidRPr="008B266D">
        <w:rPr>
          <w:rFonts w:ascii="ISOCPEUR" w:hAnsi="ISOCPEUR"/>
        </w:rPr>
        <w:t xml:space="preserve"> jejich umístění a instalace do stavby</w:t>
      </w:r>
      <w:bookmarkEnd w:id="108"/>
      <w:bookmarkEnd w:id="109"/>
    </w:p>
    <w:p w14:paraId="1B9A1F3A" w14:textId="77777777" w:rsidR="00752DE5" w:rsidRPr="00B02224" w:rsidRDefault="00752DE5" w:rsidP="00752DE5">
      <w:pPr>
        <w:rPr>
          <w:rFonts w:ascii="ISOCPEUR" w:hAnsi="ISOCPEUR"/>
          <w:highlight w:val="yellow"/>
        </w:rPr>
      </w:pPr>
    </w:p>
    <w:p w14:paraId="1B9A1F3B" w14:textId="77777777" w:rsidR="00845CC5" w:rsidRPr="00ED1A1A" w:rsidRDefault="008B266D" w:rsidP="008B266D">
      <w:pPr>
        <w:jc w:val="both"/>
        <w:rPr>
          <w:rFonts w:ascii="ISOCPEUR" w:hAnsi="ISOCPEUR"/>
          <w:b/>
        </w:rPr>
      </w:pPr>
      <w:r w:rsidRPr="00ED1A1A">
        <w:rPr>
          <w:rFonts w:ascii="ISOCPEUR" w:hAnsi="ISOCPEUR"/>
          <w:b/>
        </w:rPr>
        <w:t xml:space="preserve">Stávající stavební objekt je vybaven systémem EPS, který bude nově rozšířen i do předmětného zastřešení </w:t>
      </w:r>
      <w:proofErr w:type="gramStart"/>
      <w:r w:rsidRPr="00ED1A1A">
        <w:rPr>
          <w:rFonts w:ascii="ISOCPEUR" w:hAnsi="ISOCPEUR"/>
          <w:b/>
        </w:rPr>
        <w:t>atria - detekční</w:t>
      </w:r>
      <w:proofErr w:type="gramEnd"/>
      <w:r w:rsidRPr="00ED1A1A">
        <w:rPr>
          <w:rFonts w:ascii="ISOCPEUR" w:hAnsi="ISOCPEUR"/>
          <w:b/>
        </w:rPr>
        <w:t xml:space="preserve"> část (opticko-kouřová čidla) a dále též tlačítkové </w:t>
      </w:r>
      <w:r w:rsidRPr="00ED1A1A">
        <w:rPr>
          <w:rFonts w:ascii="ISOCPEUR" w:hAnsi="ISOCPEUR"/>
          <w:b/>
        </w:rPr>
        <w:lastRenderedPageBreak/>
        <w:t>hlásiče požáru</w:t>
      </w:r>
      <w:r w:rsidR="00A61092" w:rsidRPr="00ED1A1A">
        <w:rPr>
          <w:rFonts w:ascii="ISOCPEUR" w:hAnsi="ISOCPEUR"/>
          <w:b/>
        </w:rPr>
        <w:t xml:space="preserve">. </w:t>
      </w:r>
      <w:r w:rsidRPr="00ED1A1A">
        <w:rPr>
          <w:rFonts w:ascii="ISOCPEUR" w:hAnsi="ISOCPEUR"/>
          <w:b/>
        </w:rPr>
        <w:t xml:space="preserve">Systém EPS bude ovládat nově instalovanou jednotku VZT = vypnutí v případě </w:t>
      </w:r>
      <w:r w:rsidR="00ED1A1A" w:rsidRPr="00ED1A1A">
        <w:rPr>
          <w:rFonts w:ascii="ISOCPEUR" w:hAnsi="ISOCPEUR"/>
          <w:b/>
        </w:rPr>
        <w:t xml:space="preserve">vyhlášení požárního poplachu </w:t>
      </w:r>
      <w:r w:rsidRPr="00ED1A1A">
        <w:rPr>
          <w:rFonts w:ascii="ISOCPEUR" w:hAnsi="ISOCPEUR"/>
          <w:b/>
        </w:rPr>
        <w:t xml:space="preserve">a dále nově instalovaný požární </w:t>
      </w:r>
      <w:proofErr w:type="gramStart"/>
      <w:r w:rsidRPr="00ED1A1A">
        <w:rPr>
          <w:rFonts w:ascii="ISOCPEUR" w:hAnsi="ISOCPEUR"/>
          <w:b/>
        </w:rPr>
        <w:t>uzávěr - roletu</w:t>
      </w:r>
      <w:proofErr w:type="gramEnd"/>
      <w:r w:rsidRPr="00ED1A1A">
        <w:rPr>
          <w:rFonts w:ascii="ISOCPEUR" w:hAnsi="ISOCPEUR"/>
          <w:b/>
        </w:rPr>
        <w:t xml:space="preserve"> před okny sousedního požárního úseku = stažení (uzavření) v případě vyhlášení požárního poplachu.</w:t>
      </w:r>
    </w:p>
    <w:p w14:paraId="1B9A1F3C" w14:textId="77777777" w:rsidR="00ED1A1A" w:rsidRPr="00ED1A1A" w:rsidRDefault="00ED1A1A" w:rsidP="008B266D">
      <w:pPr>
        <w:jc w:val="both"/>
        <w:rPr>
          <w:rFonts w:ascii="ISOCPEUR" w:hAnsi="ISOCPEUR"/>
          <w:b/>
        </w:rPr>
      </w:pPr>
    </w:p>
    <w:p w14:paraId="1B9A1F3D" w14:textId="77777777" w:rsidR="00ED1A1A" w:rsidRPr="00ED1A1A" w:rsidRDefault="00ED1A1A" w:rsidP="008B266D">
      <w:pPr>
        <w:jc w:val="both"/>
        <w:rPr>
          <w:rFonts w:ascii="ISOCPEUR" w:hAnsi="ISOCPEUR"/>
        </w:rPr>
      </w:pPr>
      <w:r w:rsidRPr="00ED1A1A">
        <w:rPr>
          <w:rFonts w:ascii="ISOCPEUR" w:hAnsi="ISOCPEUR"/>
        </w:rPr>
        <w:t>Objekt není a nebude vybaven systémy ZOKT a SHZ.</w:t>
      </w:r>
    </w:p>
    <w:p w14:paraId="1B9A1F3E" w14:textId="77777777" w:rsidR="00845CC5" w:rsidRPr="00ED1A1A" w:rsidRDefault="00845CC5" w:rsidP="00355046">
      <w:pPr>
        <w:pStyle w:val="Nadpis1"/>
        <w:rPr>
          <w:rFonts w:ascii="ISOCPEUR" w:hAnsi="ISOCPEUR"/>
        </w:rPr>
      </w:pPr>
      <w:bookmarkStart w:id="110" w:name="_Toc401298376"/>
      <w:bookmarkStart w:id="111" w:name="_Toc408206"/>
      <w:r w:rsidRPr="00ED1A1A">
        <w:rPr>
          <w:rFonts w:ascii="ISOCPEUR" w:hAnsi="ISOCPEUR"/>
        </w:rPr>
        <w:t xml:space="preserve">Rozsah a způsob rozmístění výstražných a bezpečnostních značek a tabulek, včetně vyhodnocení nutnosti označení </w:t>
      </w:r>
      <w:proofErr w:type="gramStart"/>
      <w:r w:rsidRPr="00ED1A1A">
        <w:rPr>
          <w:rFonts w:ascii="ISOCPEUR" w:hAnsi="ISOCPEUR"/>
        </w:rPr>
        <w:t>míst</w:t>
      </w:r>
      <w:proofErr w:type="gramEnd"/>
      <w:r w:rsidRPr="00ED1A1A">
        <w:rPr>
          <w:rFonts w:ascii="ISOCPEUR" w:hAnsi="ISOCPEUR"/>
        </w:rPr>
        <w:t xml:space="preserve"> na kterých se nachází věcné prostředky požární ochrany a požárně bezpečnostní zařízení</w:t>
      </w:r>
      <w:bookmarkEnd w:id="110"/>
      <w:bookmarkEnd w:id="111"/>
    </w:p>
    <w:p w14:paraId="1B9A1F3F" w14:textId="77777777" w:rsidR="00845CC5" w:rsidRPr="00ED1A1A" w:rsidRDefault="00845CC5" w:rsidP="009A7B66">
      <w:pPr>
        <w:pStyle w:val="Nadpis2"/>
        <w:rPr>
          <w:rFonts w:ascii="ISOCPEUR" w:hAnsi="ISOCPEUR"/>
        </w:rPr>
      </w:pPr>
      <w:bookmarkStart w:id="112" w:name="_Toc263064944"/>
      <w:bookmarkStart w:id="113" w:name="_Toc308781272"/>
      <w:bookmarkStart w:id="114" w:name="_Toc357258443"/>
      <w:bookmarkStart w:id="115" w:name="_Toc401298377"/>
      <w:bookmarkStart w:id="116" w:name="_Toc408207"/>
      <w:r w:rsidRPr="00ED1A1A">
        <w:rPr>
          <w:rFonts w:ascii="ISOCPEUR" w:hAnsi="ISOCPEUR"/>
        </w:rPr>
        <w:t>Bezpečnostní značky a tabulky</w:t>
      </w:r>
      <w:bookmarkEnd w:id="112"/>
      <w:bookmarkEnd w:id="113"/>
      <w:bookmarkEnd w:id="114"/>
      <w:bookmarkEnd w:id="115"/>
      <w:bookmarkEnd w:id="116"/>
    </w:p>
    <w:p w14:paraId="1B9A1F40" w14:textId="77777777" w:rsidR="00845CC5" w:rsidRPr="00ED1A1A" w:rsidRDefault="00845CC5" w:rsidP="00845CC5">
      <w:pPr>
        <w:pStyle w:val="Odstavecseseznamem"/>
        <w:numPr>
          <w:ilvl w:val="0"/>
          <w:numId w:val="13"/>
        </w:numPr>
        <w:spacing w:line="276" w:lineRule="auto"/>
        <w:ind w:left="284" w:hanging="206"/>
        <w:jc w:val="both"/>
        <w:rPr>
          <w:rFonts w:ascii="ISOCPEUR" w:hAnsi="ISOCPEUR"/>
        </w:rPr>
      </w:pPr>
      <w:r w:rsidRPr="00ED1A1A">
        <w:rPr>
          <w:rFonts w:ascii="ISOCPEUR" w:hAnsi="ISOCPEUR"/>
        </w:rPr>
        <w:t xml:space="preserve">V objektu budou rozmístěny bezpečnostní značky a tabulky dle zásad uvedených v ČSN ISO 3864, ČSN ISO 3864-1 a NV č. </w:t>
      </w:r>
      <w:r w:rsidR="00675EAB" w:rsidRPr="00ED1A1A">
        <w:rPr>
          <w:rFonts w:ascii="ISOCPEUR" w:hAnsi="ISOCPEUR"/>
        </w:rPr>
        <w:t>375</w:t>
      </w:r>
      <w:r w:rsidRPr="00ED1A1A">
        <w:rPr>
          <w:rFonts w:ascii="ISOCPEUR" w:hAnsi="ISOCPEUR"/>
        </w:rPr>
        <w:t>/20</w:t>
      </w:r>
      <w:r w:rsidR="00675EAB" w:rsidRPr="00ED1A1A">
        <w:rPr>
          <w:rFonts w:ascii="ISOCPEUR" w:hAnsi="ISOCPEUR"/>
        </w:rPr>
        <w:t>17</w:t>
      </w:r>
      <w:r w:rsidRPr="00ED1A1A">
        <w:rPr>
          <w:rFonts w:ascii="ISOCPEUR" w:hAnsi="ISOCPEUR"/>
        </w:rPr>
        <w:t xml:space="preserve"> Sb. ve znění pozdějších předpisů.</w:t>
      </w:r>
    </w:p>
    <w:p w14:paraId="1B9A1F41" w14:textId="77777777" w:rsidR="00845CC5" w:rsidRPr="00ED1A1A" w:rsidRDefault="00845CC5" w:rsidP="00845CC5">
      <w:pPr>
        <w:pStyle w:val="Odstavecseseznamem"/>
        <w:numPr>
          <w:ilvl w:val="0"/>
          <w:numId w:val="13"/>
        </w:numPr>
        <w:spacing w:line="276" w:lineRule="auto"/>
        <w:ind w:left="284" w:hanging="206"/>
        <w:jc w:val="both"/>
        <w:rPr>
          <w:rFonts w:ascii="ISOCPEUR" w:hAnsi="ISOCPEUR"/>
        </w:rPr>
      </w:pPr>
      <w:r w:rsidRPr="00ED1A1A">
        <w:rPr>
          <w:rFonts w:ascii="ISOCPEUR" w:hAnsi="ISOCPEUR"/>
        </w:rPr>
        <w:t xml:space="preserve">Bezpečnostními značkami a tabulkami budou označeny všechny únikové cesty (směry úniku, únikové východy, směry otvírání dveří, výtahy nepoužívané k evakuaci </w:t>
      </w:r>
      <w:proofErr w:type="gramStart"/>
      <w:r w:rsidRPr="00ED1A1A">
        <w:rPr>
          <w:rFonts w:ascii="ISOCPEUR" w:hAnsi="ISOCPEUR"/>
        </w:rPr>
        <w:t>osob,</w:t>
      </w:r>
      <w:proofErr w:type="gramEnd"/>
      <w:r w:rsidRPr="00ED1A1A">
        <w:rPr>
          <w:rFonts w:ascii="ISOCPEUR" w:hAnsi="ISOCPEUR"/>
        </w:rPr>
        <w:t xml:space="preserve"> apod.). Každá úniková cesta musí být vybavena bezpečnostními značkami a tabulkami a texty s bezpečnostním sdělením za účelem a v rozsahu nezbytném pro usnadnění evakuace osob.</w:t>
      </w:r>
    </w:p>
    <w:p w14:paraId="1B9A1F42" w14:textId="77777777" w:rsidR="00845CC5" w:rsidRPr="00ED1A1A" w:rsidRDefault="00845CC5" w:rsidP="00845CC5">
      <w:pPr>
        <w:pStyle w:val="Odstavecseseznamem"/>
        <w:numPr>
          <w:ilvl w:val="0"/>
          <w:numId w:val="13"/>
        </w:numPr>
        <w:spacing w:line="276" w:lineRule="auto"/>
        <w:ind w:left="284" w:hanging="206"/>
        <w:jc w:val="both"/>
        <w:rPr>
          <w:rFonts w:ascii="ISOCPEUR" w:hAnsi="ISOCPEUR"/>
        </w:rPr>
      </w:pPr>
      <w:r w:rsidRPr="00ED1A1A">
        <w:rPr>
          <w:rFonts w:ascii="ISOCPEUR" w:hAnsi="ISOCPEUR"/>
        </w:rPr>
        <w:t xml:space="preserve">Toto bezpečnostní značení se umísťuje zejména tam, kde se mění směr úniku osob, kde dochází ke křížení komunikací a při jakékoliv změně výškové úrovně. </w:t>
      </w:r>
    </w:p>
    <w:p w14:paraId="1B9A1F43" w14:textId="77777777" w:rsidR="00845CC5" w:rsidRPr="00ED1A1A" w:rsidRDefault="00845CC5" w:rsidP="00845CC5">
      <w:pPr>
        <w:pStyle w:val="Odstavecseseznamem"/>
        <w:numPr>
          <w:ilvl w:val="0"/>
          <w:numId w:val="13"/>
        </w:numPr>
        <w:spacing w:line="276" w:lineRule="auto"/>
        <w:ind w:left="284" w:hanging="206"/>
        <w:jc w:val="both"/>
        <w:rPr>
          <w:rFonts w:ascii="ISOCPEUR" w:hAnsi="ISOCPEUR"/>
        </w:rPr>
      </w:pPr>
      <w:r w:rsidRPr="00ED1A1A">
        <w:rPr>
          <w:rFonts w:ascii="ISOCPEUR" w:hAnsi="ISOCPEUR"/>
        </w:rPr>
        <w:t>Značky sloužící k evakuaci osob musí v každém místě jednoznačně informovat o směru úniku. Zároveň se musí označit také všechny cesty nebo východy, které k úniku nelze použít.</w:t>
      </w:r>
    </w:p>
    <w:p w14:paraId="1B9A1F44" w14:textId="77777777" w:rsidR="00845CC5" w:rsidRPr="00ED1A1A" w:rsidRDefault="00845CC5" w:rsidP="00845CC5">
      <w:pPr>
        <w:pStyle w:val="Odstavecseseznamem"/>
        <w:numPr>
          <w:ilvl w:val="0"/>
          <w:numId w:val="13"/>
        </w:numPr>
        <w:spacing w:line="276" w:lineRule="auto"/>
        <w:ind w:left="284" w:hanging="206"/>
        <w:jc w:val="both"/>
        <w:rPr>
          <w:rFonts w:ascii="ISOCPEUR" w:hAnsi="ISOCPEUR"/>
        </w:rPr>
      </w:pPr>
      <w:r w:rsidRPr="00ED1A1A">
        <w:rPr>
          <w:rFonts w:ascii="ISOCPEUR" w:hAnsi="ISOCPEUR"/>
        </w:rPr>
        <w:t xml:space="preserve">Dále těmito značkami a tabulkami musí být označeny: hlavní uzávěr vody, rozvaděče elektrické energie, zákaz použití vody např. při hašení rozvaděčů elektrické energie, hasicí </w:t>
      </w:r>
      <w:proofErr w:type="gramStart"/>
      <w:r w:rsidRPr="00ED1A1A">
        <w:rPr>
          <w:rFonts w:ascii="ISOCPEUR" w:hAnsi="ISOCPEUR"/>
        </w:rPr>
        <w:t>přístroje,  směrové</w:t>
      </w:r>
      <w:proofErr w:type="gramEnd"/>
      <w:r w:rsidRPr="00ED1A1A">
        <w:rPr>
          <w:rFonts w:ascii="ISOCPEUR" w:hAnsi="ISOCPEUR"/>
        </w:rPr>
        <w:t xml:space="preserve"> šipky k zařízení PO, vnější hydranty apod.</w:t>
      </w:r>
    </w:p>
    <w:p w14:paraId="1B9A1F45" w14:textId="77777777" w:rsidR="00845CC5" w:rsidRPr="00ED1A1A" w:rsidRDefault="00845CC5" w:rsidP="00845CC5">
      <w:pPr>
        <w:pStyle w:val="Odstavecseseznamem"/>
        <w:numPr>
          <w:ilvl w:val="0"/>
          <w:numId w:val="13"/>
        </w:numPr>
        <w:spacing w:line="276" w:lineRule="auto"/>
        <w:ind w:left="284" w:hanging="206"/>
        <w:jc w:val="both"/>
        <w:rPr>
          <w:rFonts w:ascii="ISOCPEUR" w:hAnsi="ISOCPEUR"/>
        </w:rPr>
      </w:pPr>
      <w:r w:rsidRPr="00ED1A1A">
        <w:rPr>
          <w:rFonts w:ascii="ISOCPEUR" w:hAnsi="ISOCPEUR"/>
        </w:rPr>
        <w:t>Bezpečnostní značky a tabulky budou fotoluminiscenční.</w:t>
      </w:r>
    </w:p>
    <w:p w14:paraId="1B9A1F46" w14:textId="77777777" w:rsidR="00355046" w:rsidRPr="00ED1A1A" w:rsidRDefault="00355046" w:rsidP="00355046">
      <w:pPr>
        <w:pStyle w:val="Nadpis1"/>
        <w:keepNext w:val="0"/>
        <w:numPr>
          <w:ilvl w:val="0"/>
          <w:numId w:val="0"/>
        </w:numPr>
        <w:spacing w:line="276" w:lineRule="auto"/>
        <w:ind w:left="360" w:hanging="360"/>
        <w:rPr>
          <w:rFonts w:ascii="ISOCPEUR" w:hAnsi="ISOCPEUR"/>
        </w:rPr>
      </w:pPr>
      <w:bookmarkStart w:id="117" w:name="_Toc481930524"/>
      <w:bookmarkStart w:id="118" w:name="_Toc408208"/>
      <w:bookmarkEnd w:id="103"/>
      <w:bookmarkEnd w:id="104"/>
      <w:bookmarkEnd w:id="105"/>
      <w:bookmarkEnd w:id="106"/>
      <w:bookmarkEnd w:id="107"/>
      <w:r w:rsidRPr="00ED1A1A">
        <w:rPr>
          <w:rFonts w:ascii="ISOCPEUR" w:hAnsi="ISOCPEUR"/>
        </w:rPr>
        <w:t>Závěr</w:t>
      </w:r>
      <w:bookmarkEnd w:id="117"/>
      <w:bookmarkEnd w:id="118"/>
    </w:p>
    <w:p w14:paraId="1B9A1F47" w14:textId="77777777" w:rsidR="00355046" w:rsidRPr="00ED1A1A" w:rsidRDefault="00355046" w:rsidP="00355046">
      <w:pPr>
        <w:autoSpaceDE w:val="0"/>
        <w:autoSpaceDN w:val="0"/>
        <w:adjustRightInd w:val="0"/>
        <w:jc w:val="both"/>
        <w:rPr>
          <w:rFonts w:ascii="ISOCPEUR" w:hAnsi="ISOCPEUR" w:cs="Calibri"/>
          <w:b/>
        </w:rPr>
      </w:pPr>
      <w:r w:rsidRPr="00ED1A1A">
        <w:rPr>
          <w:rFonts w:ascii="ISOCPEUR" w:hAnsi="ISOCPEUR" w:cs="Calibri"/>
          <w:b/>
        </w:rPr>
        <w:t>Tato dokumentace byla zpracována na základě projektové dokumentace [P1</w:t>
      </w:r>
      <w:r w:rsidR="00ED1A1A" w:rsidRPr="00ED1A1A">
        <w:rPr>
          <w:rFonts w:ascii="ISOCPEUR" w:hAnsi="ISOCPEUR" w:cs="Calibri"/>
          <w:b/>
        </w:rPr>
        <w:t>;2</w:t>
      </w:r>
      <w:r w:rsidRPr="00ED1A1A">
        <w:rPr>
          <w:rFonts w:ascii="ISOCPEUR" w:hAnsi="ISOCPEUR" w:cs="Calibri"/>
          <w:b/>
        </w:rPr>
        <w:t>]</w:t>
      </w:r>
      <w:r w:rsidRPr="00ED1A1A">
        <w:rPr>
          <w:rFonts w:ascii="ISOCPEUR" w:hAnsi="ISOCPEUR"/>
          <w:b/>
        </w:rPr>
        <w:t>.</w:t>
      </w:r>
    </w:p>
    <w:p w14:paraId="1B9A1F48" w14:textId="77777777" w:rsidR="00355046" w:rsidRPr="00ED1A1A" w:rsidRDefault="00355046" w:rsidP="00355046">
      <w:pPr>
        <w:autoSpaceDE w:val="0"/>
        <w:autoSpaceDN w:val="0"/>
        <w:adjustRightInd w:val="0"/>
        <w:spacing w:before="240" w:line="276" w:lineRule="auto"/>
        <w:jc w:val="both"/>
        <w:rPr>
          <w:rFonts w:ascii="ISOCPEUR" w:eastAsia="Times New Roman" w:hAnsi="ISOCPEUR" w:cs="Calibri"/>
          <w:iCs/>
          <w:lang w:eastAsia="cs-CZ"/>
        </w:rPr>
      </w:pPr>
      <w:r w:rsidRPr="00ED1A1A">
        <w:rPr>
          <w:rFonts w:ascii="ISOCPEUR" w:eastAsia="Times New Roman" w:hAnsi="ISOCPEUR" w:cs="Calibri"/>
          <w:iCs/>
          <w:u w:val="single"/>
          <w:lang w:eastAsia="cs-CZ"/>
        </w:rPr>
        <w:t>P</w:t>
      </w:r>
      <w:r w:rsidRPr="00ED1A1A">
        <w:rPr>
          <w:rFonts w:ascii="ISOCPEUR" w:eastAsia="Arial,Italic" w:hAnsi="ISOCPEUR" w:cs="Calibri"/>
          <w:iCs/>
          <w:u w:val="single"/>
          <w:lang w:eastAsia="cs-CZ"/>
        </w:rPr>
        <w:t>ř</w:t>
      </w:r>
      <w:r w:rsidRPr="00ED1A1A">
        <w:rPr>
          <w:rFonts w:ascii="ISOCPEUR" w:eastAsia="Times New Roman" w:hAnsi="ISOCPEUR" w:cs="Calibri"/>
          <w:iCs/>
          <w:u w:val="single"/>
          <w:lang w:eastAsia="cs-CZ"/>
        </w:rPr>
        <w:t xml:space="preserve">ed uvedením stavby do užívání </w:t>
      </w:r>
      <w:r w:rsidRPr="00ED1A1A">
        <w:rPr>
          <w:rFonts w:ascii="ISOCPEUR" w:hAnsi="ISOCPEUR" w:cs="Calibri"/>
          <w:u w:val="single"/>
        </w:rPr>
        <w:t xml:space="preserve">musí být předloženy doklady v souladu s </w:t>
      </w:r>
      <w:r w:rsidRPr="00ED1A1A">
        <w:rPr>
          <w:rFonts w:ascii="ISOCPEUR" w:hAnsi="ISOCPEUR" w:cs="Calibri"/>
          <w:bCs/>
          <w:u w:val="single"/>
        </w:rPr>
        <w:t xml:space="preserve">Vyhl.MV </w:t>
      </w:r>
      <w:r w:rsidRPr="00ED1A1A">
        <w:rPr>
          <w:rFonts w:ascii="ISOCPEUR" w:hAnsi="ISOCPEUR" w:cs="Calibri"/>
          <w:u w:val="single"/>
        </w:rPr>
        <w:t>č.246/2001 Sb., o stanovení podmínek požární bezpečnosti a výkonu státního požárního dozoru (vyhláška o požární prevenci):</w:t>
      </w:r>
    </w:p>
    <w:p w14:paraId="1B9A1F49" w14:textId="77777777" w:rsidR="00355046" w:rsidRPr="00ED1A1A" w:rsidRDefault="00355046" w:rsidP="00355046">
      <w:pPr>
        <w:numPr>
          <w:ilvl w:val="0"/>
          <w:numId w:val="12"/>
        </w:numPr>
        <w:autoSpaceDE w:val="0"/>
        <w:autoSpaceDN w:val="0"/>
        <w:adjustRightInd w:val="0"/>
        <w:spacing w:before="60" w:line="276" w:lineRule="auto"/>
        <w:ind w:left="426" w:hanging="426"/>
        <w:jc w:val="both"/>
        <w:rPr>
          <w:rFonts w:ascii="ISOCPEUR" w:eastAsia="Times New Roman" w:hAnsi="ISOCPEUR" w:cs="Calibri"/>
          <w:iCs/>
          <w:lang w:eastAsia="cs-CZ"/>
        </w:rPr>
      </w:pPr>
      <w:r w:rsidRPr="00ED1A1A">
        <w:rPr>
          <w:rFonts w:ascii="ISOCPEUR" w:eastAsia="Times New Roman" w:hAnsi="ISOCPEUR" w:cs="Calibri"/>
          <w:iCs/>
          <w:lang w:eastAsia="cs-CZ"/>
        </w:rPr>
        <w:t>k navrhovaným požárn</w:t>
      </w:r>
      <w:r w:rsidRPr="00ED1A1A">
        <w:rPr>
          <w:rFonts w:ascii="ISOCPEUR" w:eastAsia="Arial,Italic" w:hAnsi="ISOCPEUR" w:cs="Calibri"/>
          <w:iCs/>
          <w:lang w:eastAsia="cs-CZ"/>
        </w:rPr>
        <w:t xml:space="preserve">ě </w:t>
      </w:r>
      <w:r w:rsidRPr="00ED1A1A">
        <w:rPr>
          <w:rFonts w:ascii="ISOCPEUR" w:eastAsia="Times New Roman" w:hAnsi="ISOCPEUR" w:cs="Calibri"/>
          <w:iCs/>
          <w:lang w:eastAsia="cs-CZ"/>
        </w:rPr>
        <w:t>bezpe</w:t>
      </w:r>
      <w:r w:rsidRPr="00ED1A1A">
        <w:rPr>
          <w:rFonts w:ascii="ISOCPEUR" w:eastAsia="Arial,Italic" w:hAnsi="ISOCPEUR" w:cs="Calibri"/>
          <w:iCs/>
          <w:lang w:eastAsia="cs-CZ"/>
        </w:rPr>
        <w:t>č</w:t>
      </w:r>
      <w:r w:rsidRPr="00ED1A1A">
        <w:rPr>
          <w:rFonts w:ascii="ISOCPEUR" w:eastAsia="Times New Roman" w:hAnsi="ISOCPEUR" w:cs="Calibri"/>
          <w:iCs/>
          <w:lang w:eastAsia="cs-CZ"/>
        </w:rPr>
        <w:t>nostním za</w:t>
      </w:r>
      <w:r w:rsidRPr="00ED1A1A">
        <w:rPr>
          <w:rFonts w:ascii="ISOCPEUR" w:eastAsia="Arial,Italic" w:hAnsi="ISOCPEUR" w:cs="Calibri"/>
          <w:iCs/>
          <w:lang w:eastAsia="cs-CZ"/>
        </w:rPr>
        <w:t>ř</w:t>
      </w:r>
      <w:r w:rsidRPr="00ED1A1A">
        <w:rPr>
          <w:rFonts w:ascii="ISOCPEUR" w:eastAsia="Times New Roman" w:hAnsi="ISOCPEUR" w:cs="Calibri"/>
          <w:iCs/>
          <w:lang w:eastAsia="cs-CZ"/>
        </w:rPr>
        <w:t xml:space="preserve">ízením ve smyslu zákona </w:t>
      </w:r>
      <w:r w:rsidRPr="00ED1A1A">
        <w:rPr>
          <w:rFonts w:ascii="ISOCPEUR" w:eastAsia="Arial,Italic" w:hAnsi="ISOCPEUR" w:cs="Calibri"/>
          <w:iCs/>
          <w:lang w:eastAsia="cs-CZ"/>
        </w:rPr>
        <w:t>č</w:t>
      </w:r>
      <w:r w:rsidRPr="00ED1A1A">
        <w:rPr>
          <w:rFonts w:ascii="ISOCPEUR" w:eastAsia="Times New Roman" w:hAnsi="ISOCPEUR" w:cs="Calibri"/>
          <w:iCs/>
          <w:lang w:eastAsia="cs-CZ"/>
        </w:rPr>
        <w:t>. 22/1997 Sb., o technických požadavcích na výrobky a o zm</w:t>
      </w:r>
      <w:r w:rsidRPr="00ED1A1A">
        <w:rPr>
          <w:rFonts w:ascii="ISOCPEUR" w:eastAsia="Arial,Italic" w:hAnsi="ISOCPEUR" w:cs="Calibri"/>
          <w:iCs/>
          <w:lang w:eastAsia="cs-CZ"/>
        </w:rPr>
        <w:t>ě</w:t>
      </w:r>
      <w:r w:rsidRPr="00ED1A1A">
        <w:rPr>
          <w:rFonts w:ascii="ISOCPEUR" w:eastAsia="Times New Roman" w:hAnsi="ISOCPEUR" w:cs="Calibri"/>
          <w:iCs/>
          <w:lang w:eastAsia="cs-CZ"/>
        </w:rPr>
        <w:t>n</w:t>
      </w:r>
      <w:r w:rsidRPr="00ED1A1A">
        <w:rPr>
          <w:rFonts w:ascii="ISOCPEUR" w:eastAsia="Arial,Italic" w:hAnsi="ISOCPEUR" w:cs="Calibri"/>
          <w:iCs/>
          <w:lang w:eastAsia="cs-CZ"/>
        </w:rPr>
        <w:t xml:space="preserve">ě </w:t>
      </w:r>
      <w:r w:rsidRPr="00ED1A1A">
        <w:rPr>
          <w:rFonts w:ascii="ISOCPEUR" w:eastAsia="Times New Roman" w:hAnsi="ISOCPEUR" w:cs="Calibri"/>
          <w:iCs/>
          <w:lang w:eastAsia="cs-CZ"/>
        </w:rPr>
        <w:t>a dopln</w:t>
      </w:r>
      <w:r w:rsidRPr="00ED1A1A">
        <w:rPr>
          <w:rFonts w:ascii="ISOCPEUR" w:eastAsia="Arial,Italic" w:hAnsi="ISOCPEUR" w:cs="Calibri"/>
          <w:iCs/>
          <w:lang w:eastAsia="cs-CZ"/>
        </w:rPr>
        <w:t>ě</w:t>
      </w:r>
      <w:r w:rsidRPr="00ED1A1A">
        <w:rPr>
          <w:rFonts w:ascii="ISOCPEUR" w:eastAsia="Times New Roman" w:hAnsi="ISOCPEUR" w:cs="Calibri"/>
          <w:iCs/>
          <w:lang w:eastAsia="cs-CZ"/>
        </w:rPr>
        <w:t>ní n</w:t>
      </w:r>
      <w:r w:rsidRPr="00ED1A1A">
        <w:rPr>
          <w:rFonts w:ascii="ISOCPEUR" w:eastAsia="Arial,Italic" w:hAnsi="ISOCPEUR" w:cs="Calibri"/>
          <w:iCs/>
          <w:lang w:eastAsia="cs-CZ"/>
        </w:rPr>
        <w:t>ě</w:t>
      </w:r>
      <w:r w:rsidRPr="00ED1A1A">
        <w:rPr>
          <w:rFonts w:ascii="ISOCPEUR" w:eastAsia="Times New Roman" w:hAnsi="ISOCPEUR" w:cs="Calibri"/>
          <w:iCs/>
          <w:lang w:eastAsia="cs-CZ"/>
        </w:rPr>
        <w:t>kterých zákon</w:t>
      </w:r>
      <w:r w:rsidRPr="00ED1A1A">
        <w:rPr>
          <w:rFonts w:ascii="ISOCPEUR" w:eastAsia="Arial,Italic" w:hAnsi="ISOCPEUR" w:cs="Calibri"/>
          <w:iCs/>
          <w:lang w:eastAsia="cs-CZ"/>
        </w:rPr>
        <w:t>ů</w:t>
      </w:r>
      <w:r w:rsidRPr="00ED1A1A">
        <w:rPr>
          <w:rFonts w:ascii="ISOCPEUR" w:eastAsia="Times New Roman" w:hAnsi="ISOCPEUR" w:cs="Calibri"/>
          <w:iCs/>
          <w:lang w:eastAsia="cs-CZ"/>
        </w:rPr>
        <w:t>, ve zn</w:t>
      </w:r>
      <w:r w:rsidRPr="00ED1A1A">
        <w:rPr>
          <w:rFonts w:ascii="ISOCPEUR" w:eastAsia="Arial,Italic" w:hAnsi="ISOCPEUR" w:cs="Calibri"/>
          <w:iCs/>
          <w:lang w:eastAsia="cs-CZ"/>
        </w:rPr>
        <w:t>ě</w:t>
      </w:r>
      <w:r w:rsidRPr="00ED1A1A">
        <w:rPr>
          <w:rFonts w:ascii="ISOCPEUR" w:eastAsia="Times New Roman" w:hAnsi="ISOCPEUR" w:cs="Calibri"/>
          <w:iCs/>
          <w:lang w:eastAsia="cs-CZ"/>
        </w:rPr>
        <w:t>ní pozd</w:t>
      </w:r>
      <w:r w:rsidRPr="00ED1A1A">
        <w:rPr>
          <w:rFonts w:ascii="ISOCPEUR" w:eastAsia="Arial,Italic" w:hAnsi="ISOCPEUR" w:cs="Calibri"/>
          <w:iCs/>
          <w:lang w:eastAsia="cs-CZ"/>
        </w:rPr>
        <w:t>ě</w:t>
      </w:r>
      <w:r w:rsidRPr="00ED1A1A">
        <w:rPr>
          <w:rFonts w:ascii="ISOCPEUR" w:eastAsia="Times New Roman" w:hAnsi="ISOCPEUR" w:cs="Calibri"/>
          <w:iCs/>
          <w:lang w:eastAsia="cs-CZ"/>
        </w:rPr>
        <w:t>jších p</w:t>
      </w:r>
      <w:r w:rsidRPr="00ED1A1A">
        <w:rPr>
          <w:rFonts w:ascii="ISOCPEUR" w:eastAsia="Arial,Italic" w:hAnsi="ISOCPEUR" w:cs="Calibri"/>
          <w:iCs/>
          <w:lang w:eastAsia="cs-CZ"/>
        </w:rPr>
        <w:t>ř</w:t>
      </w:r>
      <w:r w:rsidRPr="00ED1A1A">
        <w:rPr>
          <w:rFonts w:ascii="ISOCPEUR" w:eastAsia="Times New Roman" w:hAnsi="ISOCPEUR" w:cs="Calibri"/>
          <w:iCs/>
          <w:lang w:eastAsia="cs-CZ"/>
        </w:rPr>
        <w:t>edpis</w:t>
      </w:r>
      <w:r w:rsidRPr="00ED1A1A">
        <w:rPr>
          <w:rFonts w:ascii="ISOCPEUR" w:eastAsia="Arial,Italic" w:hAnsi="ISOCPEUR" w:cs="Calibri"/>
          <w:iCs/>
          <w:lang w:eastAsia="cs-CZ"/>
        </w:rPr>
        <w:t>ů</w:t>
      </w:r>
      <w:r w:rsidR="002F20D7" w:rsidRPr="00ED1A1A">
        <w:rPr>
          <w:rFonts w:ascii="ISOCPEUR" w:eastAsia="Times New Roman" w:hAnsi="ISOCPEUR" w:cs="Calibri"/>
          <w:iCs/>
          <w:lang w:eastAsia="cs-CZ"/>
        </w:rPr>
        <w:t>;</w:t>
      </w:r>
    </w:p>
    <w:p w14:paraId="1B9A1F4A" w14:textId="77777777" w:rsidR="00355046" w:rsidRPr="00ED1A1A" w:rsidRDefault="00355046" w:rsidP="00355046">
      <w:pPr>
        <w:numPr>
          <w:ilvl w:val="0"/>
          <w:numId w:val="12"/>
        </w:numPr>
        <w:autoSpaceDE w:val="0"/>
        <w:autoSpaceDN w:val="0"/>
        <w:adjustRightInd w:val="0"/>
        <w:spacing w:before="60" w:line="276" w:lineRule="auto"/>
        <w:ind w:left="426" w:hanging="426"/>
        <w:jc w:val="both"/>
        <w:rPr>
          <w:rFonts w:ascii="ISOCPEUR" w:eastAsia="Times New Roman" w:hAnsi="ISOCPEUR" w:cs="Calibri"/>
          <w:iCs/>
          <w:lang w:eastAsia="cs-CZ"/>
        </w:rPr>
      </w:pPr>
      <w:r w:rsidRPr="00ED1A1A">
        <w:rPr>
          <w:rFonts w:ascii="ISOCPEUR" w:eastAsia="Times New Roman" w:hAnsi="ISOCPEUR" w:cs="Calibri"/>
          <w:iCs/>
          <w:lang w:eastAsia="cs-CZ"/>
        </w:rPr>
        <w:t>o montáži a kontrole provozuschopnosti požárn</w:t>
      </w:r>
      <w:r w:rsidRPr="00ED1A1A">
        <w:rPr>
          <w:rFonts w:ascii="ISOCPEUR" w:eastAsia="Arial,Italic" w:hAnsi="ISOCPEUR" w:cs="Calibri"/>
          <w:iCs/>
          <w:lang w:eastAsia="cs-CZ"/>
        </w:rPr>
        <w:t xml:space="preserve">ě </w:t>
      </w:r>
      <w:r w:rsidRPr="00ED1A1A">
        <w:rPr>
          <w:rFonts w:ascii="ISOCPEUR" w:eastAsia="Times New Roman" w:hAnsi="ISOCPEUR" w:cs="Calibri"/>
          <w:iCs/>
          <w:lang w:eastAsia="cs-CZ"/>
        </w:rPr>
        <w:t>bezpe</w:t>
      </w:r>
      <w:r w:rsidRPr="00ED1A1A">
        <w:rPr>
          <w:rFonts w:ascii="ISOCPEUR" w:eastAsia="Arial,Italic" w:hAnsi="ISOCPEUR" w:cs="Calibri"/>
          <w:iCs/>
          <w:lang w:eastAsia="cs-CZ"/>
        </w:rPr>
        <w:t>č</w:t>
      </w:r>
      <w:r w:rsidRPr="00ED1A1A">
        <w:rPr>
          <w:rFonts w:ascii="ISOCPEUR" w:eastAsia="Times New Roman" w:hAnsi="ISOCPEUR" w:cs="Calibri"/>
          <w:iCs/>
          <w:lang w:eastAsia="cs-CZ"/>
        </w:rPr>
        <w:t xml:space="preserve">nostních </w:t>
      </w:r>
      <w:proofErr w:type="gramStart"/>
      <w:r w:rsidRPr="00ED1A1A">
        <w:rPr>
          <w:rFonts w:ascii="ISOCPEUR" w:eastAsia="Times New Roman" w:hAnsi="ISOCPEUR" w:cs="Calibri"/>
          <w:iCs/>
          <w:lang w:eastAsia="cs-CZ"/>
        </w:rPr>
        <w:t>za</w:t>
      </w:r>
      <w:r w:rsidRPr="00ED1A1A">
        <w:rPr>
          <w:rFonts w:ascii="ISOCPEUR" w:eastAsia="Arial,Italic" w:hAnsi="ISOCPEUR" w:cs="Calibri"/>
          <w:iCs/>
          <w:lang w:eastAsia="cs-CZ"/>
        </w:rPr>
        <w:t>ř</w:t>
      </w:r>
      <w:r w:rsidR="002F20D7" w:rsidRPr="00ED1A1A">
        <w:rPr>
          <w:rFonts w:ascii="ISOCPEUR" w:eastAsia="Times New Roman" w:hAnsi="ISOCPEUR" w:cs="Calibri"/>
          <w:iCs/>
          <w:lang w:eastAsia="cs-CZ"/>
        </w:rPr>
        <w:t>ízení - přenosné</w:t>
      </w:r>
      <w:proofErr w:type="gramEnd"/>
      <w:r w:rsidR="002F20D7" w:rsidRPr="00ED1A1A">
        <w:rPr>
          <w:rFonts w:ascii="ISOCPEUR" w:eastAsia="Times New Roman" w:hAnsi="ISOCPEUR" w:cs="Calibri"/>
          <w:iCs/>
          <w:lang w:eastAsia="cs-CZ"/>
        </w:rPr>
        <w:t xml:space="preserve"> hasící přístroje + vnitřní požární vodovod</w:t>
      </w:r>
      <w:r w:rsidR="00ED1A1A" w:rsidRPr="00ED1A1A">
        <w:rPr>
          <w:rFonts w:ascii="ISOCPEUR" w:eastAsia="Times New Roman" w:hAnsi="ISOCPEUR" w:cs="Calibri"/>
          <w:iCs/>
          <w:lang w:eastAsia="cs-CZ"/>
        </w:rPr>
        <w:t>; EPS</w:t>
      </w:r>
      <w:r w:rsidR="002F20D7" w:rsidRPr="00ED1A1A">
        <w:rPr>
          <w:rFonts w:ascii="ISOCPEUR" w:eastAsia="Times New Roman" w:hAnsi="ISOCPEUR" w:cs="Calibri"/>
          <w:iCs/>
          <w:lang w:eastAsia="cs-CZ"/>
        </w:rPr>
        <w:t>;</w:t>
      </w:r>
    </w:p>
    <w:p w14:paraId="1B9A1F4B" w14:textId="77777777" w:rsidR="00355046" w:rsidRPr="00ED1A1A" w:rsidRDefault="00355046" w:rsidP="00355046">
      <w:pPr>
        <w:numPr>
          <w:ilvl w:val="0"/>
          <w:numId w:val="12"/>
        </w:numPr>
        <w:autoSpaceDE w:val="0"/>
        <w:autoSpaceDN w:val="0"/>
        <w:adjustRightInd w:val="0"/>
        <w:spacing w:before="60" w:line="276" w:lineRule="auto"/>
        <w:ind w:left="426" w:hanging="426"/>
        <w:jc w:val="both"/>
        <w:rPr>
          <w:rFonts w:ascii="ISOCPEUR" w:eastAsia="Times New Roman" w:hAnsi="ISOCPEUR" w:cs="Calibri"/>
          <w:iCs/>
          <w:lang w:eastAsia="cs-CZ"/>
        </w:rPr>
      </w:pPr>
      <w:r w:rsidRPr="00ED1A1A">
        <w:rPr>
          <w:rFonts w:ascii="ISOCPEUR" w:eastAsia="Times New Roman" w:hAnsi="ISOCPEUR" w:cs="Calibri"/>
          <w:iCs/>
          <w:lang w:eastAsia="cs-CZ"/>
        </w:rPr>
        <w:t xml:space="preserve">o provedených </w:t>
      </w:r>
      <w:proofErr w:type="gramStart"/>
      <w:r w:rsidRPr="00ED1A1A">
        <w:rPr>
          <w:rFonts w:ascii="ISOCPEUR" w:eastAsia="Times New Roman" w:hAnsi="ISOCPEUR" w:cs="Calibri"/>
          <w:iCs/>
          <w:lang w:eastAsia="cs-CZ"/>
        </w:rPr>
        <w:t>revizích - elektroinstalace</w:t>
      </w:r>
      <w:proofErr w:type="gramEnd"/>
      <w:r w:rsidRPr="00ED1A1A">
        <w:rPr>
          <w:rFonts w:ascii="ISOCPEUR" w:eastAsia="Times New Roman" w:hAnsi="ISOCPEUR" w:cs="Calibri"/>
          <w:iCs/>
          <w:lang w:eastAsia="cs-CZ"/>
        </w:rPr>
        <w:t>, hromosvod</w:t>
      </w:r>
      <w:r w:rsidR="00ED1A1A" w:rsidRPr="00ED1A1A">
        <w:rPr>
          <w:rFonts w:ascii="ISOCPEUR" w:eastAsia="Times New Roman" w:hAnsi="ISOCPEUR" w:cs="Calibri"/>
          <w:iCs/>
          <w:lang w:eastAsia="cs-CZ"/>
        </w:rPr>
        <w:t>; EPS</w:t>
      </w:r>
      <w:r w:rsidRPr="00ED1A1A">
        <w:rPr>
          <w:rFonts w:ascii="ISOCPEUR" w:eastAsia="Times New Roman" w:hAnsi="ISOCPEUR" w:cs="Calibri"/>
          <w:iCs/>
          <w:lang w:eastAsia="cs-CZ"/>
        </w:rPr>
        <w:t>.</w:t>
      </w:r>
    </w:p>
    <w:p w14:paraId="1B9A1F4C" w14:textId="77777777" w:rsidR="00355046" w:rsidRPr="00ED1A1A" w:rsidRDefault="00355046" w:rsidP="00355046">
      <w:pPr>
        <w:autoSpaceDE w:val="0"/>
        <w:autoSpaceDN w:val="0"/>
        <w:adjustRightInd w:val="0"/>
        <w:spacing w:before="240" w:line="276" w:lineRule="auto"/>
        <w:jc w:val="both"/>
        <w:rPr>
          <w:rFonts w:ascii="ISOCPEUR" w:eastAsia="ArialMT" w:hAnsi="ISOCPEUR" w:cs="Calibri"/>
          <w:lang w:eastAsia="cs-CZ"/>
        </w:rPr>
      </w:pPr>
      <w:r w:rsidRPr="00ED1A1A">
        <w:rPr>
          <w:rFonts w:ascii="ISOCPEUR" w:eastAsia="ArialMT" w:hAnsi="ISOCPEUR" w:cs="Calibri"/>
          <w:lang w:eastAsia="cs-CZ"/>
        </w:rPr>
        <w:lastRenderedPageBreak/>
        <w:t>Při výstavbě smí být použity pouze atestované a certifikované systémy schválené pro použity v ČR s průkazem shody dle zákona č. 22/1997 Sb. v platném zněni a dle souvisejících zákonů.</w:t>
      </w:r>
    </w:p>
    <w:p w14:paraId="1B9A1F4D" w14:textId="77777777" w:rsidR="00355046" w:rsidRPr="00ED1A1A" w:rsidRDefault="00355046" w:rsidP="00355046">
      <w:pPr>
        <w:spacing w:before="240" w:line="276" w:lineRule="auto"/>
        <w:jc w:val="both"/>
        <w:rPr>
          <w:rFonts w:ascii="ISOCPEUR" w:hAnsi="ISOCPEUR" w:cs="Calibri"/>
        </w:rPr>
      </w:pPr>
      <w:r w:rsidRPr="00ED1A1A">
        <w:rPr>
          <w:rFonts w:ascii="ISOCPEUR" w:hAnsi="ISOCPEUR" w:cs="Calibri"/>
        </w:rPr>
        <w:t>Zpracováno v rozsahu vyhlášky 246/2001 Sb. o požární prevenci a vyhlášky 23/2008 Sb. o technických podmínkách požární ochrany staveb.</w:t>
      </w:r>
    </w:p>
    <w:p w14:paraId="1B9A1F4E" w14:textId="77777777" w:rsidR="00355046" w:rsidRPr="00ED1A1A" w:rsidRDefault="00355046" w:rsidP="00355046">
      <w:pPr>
        <w:autoSpaceDE w:val="0"/>
        <w:autoSpaceDN w:val="0"/>
        <w:adjustRightInd w:val="0"/>
        <w:spacing w:before="240" w:line="276" w:lineRule="auto"/>
        <w:jc w:val="both"/>
        <w:rPr>
          <w:rFonts w:ascii="ISOCPEUR" w:eastAsia="Times New Roman" w:hAnsi="ISOCPEUR" w:cs="Calibri"/>
          <w:lang w:eastAsia="cs-CZ"/>
        </w:rPr>
      </w:pPr>
      <w:r w:rsidRPr="00ED1A1A">
        <w:rPr>
          <w:rFonts w:ascii="ISOCPEUR" w:eastAsia="Times New Roman" w:hAnsi="ISOCPEUR" w:cs="Calibri"/>
          <w:lang w:eastAsia="cs-CZ"/>
        </w:rPr>
        <w:t>Splněním výše uvedených požadavků objekt vyhoví zákonu č. 183/2006 Sb., o územním plánování a stavebním řádu, prováděcím vyhláškám navazujícím technickým normám v oblasti požární bezpečnosti staveb.</w:t>
      </w:r>
    </w:p>
    <w:p w14:paraId="1B9A1F4F" w14:textId="77777777" w:rsidR="00845CC5" w:rsidRPr="00B02224" w:rsidRDefault="00845CC5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0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1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2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3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4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5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6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7" w14:textId="77777777" w:rsidR="00355046" w:rsidRPr="00B02224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8" w14:textId="77777777" w:rsidR="00355046" w:rsidRDefault="00355046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9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A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B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C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D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E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5F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60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61" w14:textId="77777777" w:rsidR="00ED1A1A" w:rsidRDefault="00ED1A1A" w:rsidP="00845CC5">
      <w:pPr>
        <w:pStyle w:val="Standard"/>
        <w:spacing w:before="60" w:line="276" w:lineRule="auto"/>
        <w:ind w:firstLine="426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63" w14:textId="77777777" w:rsidR="00ED1A1A" w:rsidRDefault="00ED1A1A" w:rsidP="00537068">
      <w:pPr>
        <w:pStyle w:val="Standard"/>
        <w:spacing w:before="60" w:line="276" w:lineRule="auto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5349B78" w14:textId="77777777" w:rsidR="002F78F8" w:rsidRDefault="002F78F8" w:rsidP="00537068">
      <w:pPr>
        <w:pStyle w:val="Standard"/>
        <w:spacing w:before="60" w:line="276" w:lineRule="auto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29191A1A" w14:textId="77777777" w:rsidR="002F78F8" w:rsidRDefault="002F78F8" w:rsidP="00537068">
      <w:pPr>
        <w:pStyle w:val="Standard"/>
        <w:spacing w:before="60" w:line="276" w:lineRule="auto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F96CD62" w14:textId="77777777" w:rsidR="002F78F8" w:rsidRDefault="002F78F8" w:rsidP="00537068">
      <w:pPr>
        <w:pStyle w:val="Standard"/>
        <w:spacing w:before="60" w:line="276" w:lineRule="auto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D3D9CDE" w14:textId="77777777" w:rsidR="002F78F8" w:rsidRDefault="002F78F8" w:rsidP="00537068">
      <w:pPr>
        <w:pStyle w:val="Standard"/>
        <w:spacing w:before="60" w:line="276" w:lineRule="auto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25259A05" w14:textId="77777777" w:rsidR="002F78F8" w:rsidRDefault="002F78F8" w:rsidP="00537068">
      <w:pPr>
        <w:pStyle w:val="Standard"/>
        <w:spacing w:before="60" w:line="276" w:lineRule="auto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4504D4B9" w14:textId="77777777" w:rsidR="002F78F8" w:rsidRDefault="002F78F8" w:rsidP="00537068">
      <w:pPr>
        <w:pStyle w:val="Standard"/>
        <w:spacing w:before="60" w:line="276" w:lineRule="auto"/>
        <w:jc w:val="both"/>
        <w:rPr>
          <w:rFonts w:ascii="ISOCPEUR" w:hAnsi="ISOCPEUR" w:cs="Arial"/>
          <w:sz w:val="24"/>
          <w:szCs w:val="24"/>
          <w:highlight w:val="yellow"/>
        </w:rPr>
      </w:pPr>
    </w:p>
    <w:p w14:paraId="1B9A1F6E" w14:textId="77777777" w:rsidR="00845CC5" w:rsidRPr="00ED0CE5" w:rsidRDefault="00845CC5" w:rsidP="00845CC5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  <w:r w:rsidRPr="00ED0CE5">
        <w:rPr>
          <w:rFonts w:ascii="ISOCPEUR" w:hAnsi="ISOCPEUR" w:cs="Arial"/>
          <w:b/>
          <w:sz w:val="28"/>
          <w:szCs w:val="28"/>
        </w:rPr>
        <w:lastRenderedPageBreak/>
        <w:t>Příloha č. 1 - Výpočtová část</w:t>
      </w:r>
    </w:p>
    <w:bookmarkEnd w:id="29"/>
    <w:bookmarkEnd w:id="30"/>
    <w:bookmarkEnd w:id="31"/>
    <w:bookmarkEnd w:id="32"/>
    <w:bookmarkEnd w:id="33"/>
    <w:bookmarkEnd w:id="34"/>
    <w:bookmarkEnd w:id="35"/>
    <w:p w14:paraId="1B9A1F6F" w14:textId="77777777" w:rsidR="00333281" w:rsidRPr="00333281" w:rsidRDefault="00333281" w:rsidP="00333281">
      <w:pPr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Požární úsek dle ČSN 73 0802: N2.3 - Učebny</w:t>
      </w:r>
    </w:p>
    <w:p w14:paraId="1B9A1F70" w14:textId="77777777" w:rsidR="00333281" w:rsidRPr="00333281" w:rsidRDefault="00333281" w:rsidP="00333281">
      <w:pPr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u w:val="single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u w:val="single"/>
          <w:lang w:eastAsia="cs-CZ"/>
        </w:rPr>
        <w:t>Zadané údaje:</w:t>
      </w:r>
    </w:p>
    <w:p w14:paraId="1B9A1F71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Počet užitných podlaží v objektu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5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[-]</w:t>
      </w:r>
    </w:p>
    <w:p w14:paraId="1B9A1F72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Výška objektu h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9,00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73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Počet užit. 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nadzem</w:t>
      </w:r>
      <w:proofErr w:type="spell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. podlaží v objektu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5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[-]</w:t>
      </w:r>
    </w:p>
    <w:p w14:paraId="1B9A1F74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Materiál konstrukce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nehořlavý DP1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</w:p>
    <w:p w14:paraId="1B9A1F75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Zařazení dle ČSN 73 0873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nevýrobní objekt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</w:p>
    <w:p w14:paraId="1B9A1F76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Počet podlaží úseku z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[-]</w:t>
      </w:r>
    </w:p>
    <w:p w14:paraId="1B9A1F77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Výšková poloha 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hp</w:t>
      </w:r>
      <w:proofErr w:type="spell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0,00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78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Koeficient c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</w:p>
    <w:p w14:paraId="1B9A1F79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SM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automaticky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</w:p>
    <w:p w14:paraId="1B9A1F7A" w14:textId="77777777" w:rsidR="00333281" w:rsidRPr="00333281" w:rsidRDefault="00333281" w:rsidP="00333281">
      <w:pPr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Místnosti požárního úseku: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4"/>
        <w:gridCol w:w="497"/>
        <w:gridCol w:w="571"/>
        <w:gridCol w:w="811"/>
        <w:gridCol w:w="811"/>
        <w:gridCol w:w="811"/>
        <w:gridCol w:w="811"/>
        <w:gridCol w:w="811"/>
        <w:gridCol w:w="1051"/>
        <w:gridCol w:w="571"/>
        <w:gridCol w:w="945"/>
        <w:gridCol w:w="751"/>
      </w:tblGrid>
      <w:tr w:rsidR="00333281" w:rsidRPr="00333281" w14:paraId="1B9A1F9C" w14:textId="77777777">
        <w:trPr>
          <w:tblHeader/>
        </w:trPr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7B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Název</w:t>
            </w:r>
          </w:p>
          <w:p w14:paraId="1B9A1F7C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místnosti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7D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Plocha</w:t>
            </w:r>
          </w:p>
          <w:p w14:paraId="1B9A1F7E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S</w:t>
            </w:r>
          </w:p>
          <w:p w14:paraId="1B9A1F7F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[m</w:t>
            </w:r>
            <w:r w:rsidRPr="00333281">
              <w:rPr>
                <w:rFonts w:ascii="Tahoma" w:eastAsia="Times New Roman" w:hAnsi="Tahoma" w:cs="Tahoma"/>
                <w:b/>
                <w:bCs/>
                <w:position w:val="2"/>
                <w:sz w:val="14"/>
                <w:szCs w:val="16"/>
                <w:vertAlign w:val="superscript"/>
                <w:lang w:eastAsia="cs-CZ"/>
              </w:rPr>
              <w:t>2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80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Výška</w:t>
            </w:r>
          </w:p>
          <w:p w14:paraId="1B9A1F81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</w:pP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h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s</w:t>
            </w:r>
            <w:proofErr w:type="spellEnd"/>
          </w:p>
          <w:p w14:paraId="1B9A1F82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83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Nahod</w:t>
            </w:r>
            <w:proofErr w:type="spellEnd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.</w:t>
            </w:r>
          </w:p>
          <w:p w14:paraId="1B9A1F84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</w:pP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n</w:t>
            </w:r>
            <w:proofErr w:type="spellEnd"/>
          </w:p>
          <w:p w14:paraId="1B9A1F85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</w:t>
            </w: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kg.m</w:t>
            </w:r>
            <w:proofErr w:type="spellEnd"/>
            <w:r w:rsidRPr="00333281">
              <w:rPr>
                <w:rFonts w:ascii="Tahoma" w:eastAsia="Times New Roman" w:hAnsi="Tahoma" w:cs="Tahoma"/>
                <w:b/>
                <w:bCs/>
                <w:position w:val="2"/>
                <w:sz w:val="14"/>
                <w:szCs w:val="16"/>
                <w:vertAlign w:val="superscript"/>
                <w:lang w:eastAsia="cs-CZ"/>
              </w:rPr>
              <w:t>-2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86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Stálé</w:t>
            </w:r>
          </w:p>
          <w:p w14:paraId="1B9A1F87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</w:pP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s</w:t>
            </w:r>
            <w:proofErr w:type="spellEnd"/>
          </w:p>
          <w:p w14:paraId="1B9A1F88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</w:t>
            </w: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kg.m</w:t>
            </w:r>
            <w:proofErr w:type="spellEnd"/>
            <w:r w:rsidRPr="00333281">
              <w:rPr>
                <w:rFonts w:ascii="Tahoma" w:eastAsia="Times New Roman" w:hAnsi="Tahoma" w:cs="Tahoma"/>
                <w:b/>
                <w:bCs/>
                <w:position w:val="2"/>
                <w:sz w:val="14"/>
                <w:szCs w:val="16"/>
                <w:vertAlign w:val="superscript"/>
                <w:lang w:eastAsia="cs-CZ"/>
              </w:rPr>
              <w:t>-2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89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Dodat.</w:t>
            </w:r>
          </w:p>
          <w:p w14:paraId="1B9A1F8A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</w:pP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s</w:t>
            </w:r>
            <w:proofErr w:type="spellEnd"/>
          </w:p>
          <w:p w14:paraId="1B9A1F8B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</w:t>
            </w: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kg.m</w:t>
            </w:r>
            <w:proofErr w:type="spellEnd"/>
            <w:r w:rsidRPr="00333281">
              <w:rPr>
                <w:rFonts w:ascii="Tahoma" w:eastAsia="Times New Roman" w:hAnsi="Tahoma" w:cs="Tahoma"/>
                <w:b/>
                <w:bCs/>
                <w:position w:val="2"/>
                <w:sz w:val="14"/>
                <w:szCs w:val="16"/>
                <w:vertAlign w:val="superscript"/>
                <w:lang w:eastAsia="cs-CZ"/>
              </w:rPr>
              <w:t>-2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8C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Nahod</w:t>
            </w:r>
            <w:proofErr w:type="spellEnd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.</w:t>
            </w:r>
          </w:p>
          <w:p w14:paraId="1B9A1F8D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</w:pP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a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n</w:t>
            </w:r>
            <w:proofErr w:type="spellEnd"/>
          </w:p>
          <w:p w14:paraId="1B9A1F8E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8F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Stálé.</w:t>
            </w:r>
          </w:p>
          <w:p w14:paraId="1B9A1F90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a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s</w:t>
            </w:r>
          </w:p>
          <w:p w14:paraId="1B9A1F91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92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Otvory</w:t>
            </w:r>
          </w:p>
          <w:p w14:paraId="1B9A1F93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S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o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/h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vertAlign w:val="subscript"/>
                <w:lang w:eastAsia="cs-CZ"/>
              </w:rPr>
              <w:t>o</w:t>
            </w:r>
          </w:p>
          <w:p w14:paraId="1B9A1F94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[m</w:t>
            </w:r>
            <w:r w:rsidRPr="00333281">
              <w:rPr>
                <w:rFonts w:ascii="Tahoma" w:eastAsia="Times New Roman" w:hAnsi="Tahoma" w:cs="Tahoma"/>
                <w:b/>
                <w:bCs/>
                <w:position w:val="2"/>
                <w:sz w:val="14"/>
                <w:szCs w:val="16"/>
                <w:vertAlign w:val="superscript"/>
                <w:lang w:eastAsia="cs-CZ"/>
              </w:rPr>
              <w:t>2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95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Čís.</w:t>
            </w:r>
          </w:p>
          <w:p w14:paraId="1B9A1F96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pod.</w:t>
            </w:r>
          </w:p>
          <w:p w14:paraId="1B9A1F97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[-]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98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Otvor</w:t>
            </w:r>
          </w:p>
          <w:p w14:paraId="1B9A1F99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v pod.</w:t>
            </w:r>
          </w:p>
          <w:p w14:paraId="1B9A1F9A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[m</w:t>
            </w:r>
            <w:r w:rsidRPr="00333281">
              <w:rPr>
                <w:rFonts w:ascii="Tahoma" w:eastAsia="Times New Roman" w:hAnsi="Tahoma" w:cs="Tahoma"/>
                <w:b/>
                <w:bCs/>
                <w:position w:val="2"/>
                <w:sz w:val="14"/>
                <w:szCs w:val="16"/>
                <w:vertAlign w:val="superscript"/>
                <w:lang w:eastAsia="cs-CZ"/>
              </w:rPr>
              <w:t>2</w:t>
            </w: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9B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Položka z tabulky</w:t>
            </w:r>
          </w:p>
        </w:tc>
      </w:tr>
      <w:tr w:rsidR="00333281" w:rsidRPr="00333281" w14:paraId="1B9A1FA9" w14:textId="77777777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9D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Zastřešené atrium</w:t>
            </w:r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9E" w14:textId="10026937" w:rsidR="00333281" w:rsidRPr="00D5670A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color w:val="FF0000"/>
                <w:sz w:val="14"/>
                <w:szCs w:val="16"/>
                <w:lang w:eastAsia="cs-CZ"/>
              </w:rPr>
            </w:pPr>
            <w:r w:rsidRPr="00D5670A">
              <w:rPr>
                <w:rFonts w:ascii="Tahoma" w:eastAsia="Times New Roman" w:hAnsi="Tahoma" w:cs="Tahoma"/>
                <w:color w:val="FF0000"/>
                <w:sz w:val="14"/>
                <w:szCs w:val="16"/>
                <w:lang w:eastAsia="cs-CZ"/>
              </w:rPr>
              <w:t>133,</w:t>
            </w:r>
            <w:r w:rsidR="00D5670A" w:rsidRPr="00D5670A">
              <w:rPr>
                <w:rFonts w:ascii="Tahoma" w:eastAsia="Times New Roman" w:hAnsi="Tahoma" w:cs="Tahoma"/>
                <w:color w:val="FF0000"/>
                <w:sz w:val="14"/>
                <w:szCs w:val="16"/>
                <w:lang w:eastAsia="cs-CZ"/>
              </w:rPr>
              <w:t>15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9F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3,44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0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1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2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3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4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5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6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7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8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7.1.2</w:t>
            </w:r>
          </w:p>
        </w:tc>
      </w:tr>
      <w:tr w:rsidR="00333281" w:rsidRPr="00333281" w14:paraId="1B9A1FB6" w14:textId="77777777">
        <w:tc>
          <w:tcPr>
            <w:tcW w:w="17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A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 xml:space="preserve">Stávající PÚ před rozšířením o </w:t>
            </w:r>
            <w:proofErr w:type="spellStart"/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átrium</w:t>
            </w:r>
            <w:proofErr w:type="spellEnd"/>
          </w:p>
        </w:tc>
        <w:tc>
          <w:tcPr>
            <w:tcW w:w="4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B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511,61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C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3,44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D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E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AF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B0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B1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right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B2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45,00/1,50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B3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1</w:t>
            </w:r>
          </w:p>
        </w:tc>
        <w:tc>
          <w:tcPr>
            <w:tcW w:w="9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B4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B9A1FB5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sz w:val="14"/>
                <w:szCs w:val="16"/>
                <w:lang w:eastAsia="cs-CZ"/>
              </w:rPr>
              <w:t>2.1</w:t>
            </w:r>
          </w:p>
        </w:tc>
      </w:tr>
    </w:tbl>
    <w:p w14:paraId="1B9A1FB7" w14:textId="77777777" w:rsidR="00333281" w:rsidRPr="00333281" w:rsidRDefault="00333281" w:rsidP="00333281">
      <w:pPr>
        <w:autoSpaceDE w:val="0"/>
        <w:autoSpaceDN w:val="0"/>
        <w:adjustRightInd w:val="0"/>
        <w:spacing w:before="160" w:after="120"/>
        <w:rPr>
          <w:rFonts w:ascii="Tahoma" w:eastAsia="Times New Roman" w:hAnsi="Tahoma" w:cs="Tahoma"/>
          <w:sz w:val="18"/>
          <w:szCs w:val="20"/>
          <w:u w:val="single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u w:val="single"/>
          <w:lang w:eastAsia="cs-CZ"/>
        </w:rPr>
        <w:t>Osoby v místnostech:</w:t>
      </w:r>
    </w:p>
    <w:tbl>
      <w:tblPr>
        <w:tblW w:w="10205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14"/>
        <w:gridCol w:w="1412"/>
        <w:gridCol w:w="1412"/>
        <w:gridCol w:w="1412"/>
        <w:gridCol w:w="1428"/>
        <w:gridCol w:w="2327"/>
      </w:tblGrid>
      <w:tr w:rsidR="00333281" w:rsidRPr="00333281" w14:paraId="1B9A1FC4" w14:textId="77777777">
        <w:trPr>
          <w:tblHeader/>
        </w:trPr>
        <w:tc>
          <w:tcPr>
            <w:tcW w:w="221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B8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Název</w:t>
            </w:r>
          </w:p>
          <w:p w14:paraId="1B9A1FB9" w14:textId="77777777" w:rsidR="00333281" w:rsidRPr="00333281" w:rsidRDefault="00333281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místnosti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BA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Pohyblivé</w:t>
            </w:r>
          </w:p>
          <w:p w14:paraId="1B9A1FBB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BC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 xml:space="preserve">Omez. </w:t>
            </w:r>
            <w:proofErr w:type="spellStart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poh</w:t>
            </w:r>
            <w:proofErr w:type="spellEnd"/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.</w:t>
            </w:r>
          </w:p>
          <w:p w14:paraId="1B9A1FBD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BE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Nepohyblivé</w:t>
            </w:r>
          </w:p>
          <w:p w14:paraId="1B9A1FBF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osoby</w:t>
            </w:r>
          </w:p>
        </w:tc>
        <w:tc>
          <w:tcPr>
            <w:tcW w:w="1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C0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Celkem</w:t>
            </w:r>
          </w:p>
          <w:p w14:paraId="1B9A1FC1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osob</w:t>
            </w:r>
          </w:p>
        </w:tc>
        <w:tc>
          <w:tcPr>
            <w:tcW w:w="23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1B9A1FC2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Položka</w:t>
            </w:r>
          </w:p>
          <w:p w14:paraId="1B9A1FC3" w14:textId="77777777" w:rsidR="00333281" w:rsidRPr="00333281" w:rsidRDefault="00333281">
            <w:pPr>
              <w:autoSpaceDE w:val="0"/>
              <w:autoSpaceDN w:val="0"/>
              <w:adjustRightInd w:val="0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</w:pPr>
            <w:r w:rsidRPr="00333281">
              <w:rPr>
                <w:rFonts w:ascii="Tahoma" w:eastAsia="Times New Roman" w:hAnsi="Tahoma" w:cs="Tahoma"/>
                <w:b/>
                <w:bCs/>
                <w:sz w:val="14"/>
                <w:szCs w:val="16"/>
                <w:lang w:eastAsia="cs-CZ"/>
              </w:rPr>
              <w:t>z tabulky</w:t>
            </w:r>
          </w:p>
        </w:tc>
      </w:tr>
    </w:tbl>
    <w:p w14:paraId="1B9A1FC5" w14:textId="77777777" w:rsidR="00333281" w:rsidRPr="00333281" w:rsidRDefault="00333281" w:rsidP="00333281">
      <w:pPr>
        <w:autoSpaceDE w:val="0"/>
        <w:autoSpaceDN w:val="0"/>
        <w:adjustRightInd w:val="0"/>
        <w:rPr>
          <w:rFonts w:ascii="Tahoma" w:eastAsia="Times New Roman" w:hAnsi="Tahoma" w:cs="Tahoma"/>
          <w:sz w:val="18"/>
          <w:szCs w:val="20"/>
          <w:u w:val="single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u w:val="single"/>
          <w:lang w:eastAsia="cs-CZ"/>
        </w:rPr>
        <w:t>Výsledky výpočtu:</w:t>
      </w:r>
    </w:p>
    <w:p w14:paraId="1B9A1FC6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Požární zatížení výpočtové p</w:t>
      </w:r>
      <w:proofErr w:type="spellStart"/>
      <w:r w:rsidRPr="00333281">
        <w:rPr>
          <w:rFonts w:ascii="Tahoma" w:eastAsia="Times New Roman" w:hAnsi="Tahoma" w:cs="Tahoma"/>
          <w:position w:val="-2"/>
          <w:sz w:val="10"/>
          <w:szCs w:val="12"/>
          <w:lang w:eastAsia="cs-CZ"/>
        </w:rPr>
        <w:t>vyp</w:t>
      </w:r>
      <w:proofErr w:type="spell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34,80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kg.m</w:t>
      </w:r>
      <w:proofErr w:type="spellEnd"/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-2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C7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Stupeň požární bezpečnosti </w:t>
      </w:r>
      <w:proofErr w:type="spellStart"/>
      <w:proofErr w:type="gram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pož.úseku</w:t>
      </w:r>
      <w:proofErr w:type="spellEnd"/>
      <w:proofErr w:type="gram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(SPB)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III</w:t>
      </w:r>
    </w:p>
    <w:p w14:paraId="1B9A1FC8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Plocha požárního úseku S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644,70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</w:t>
      </w:r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2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C9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Koeficient n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0,046</w:t>
      </w:r>
    </w:p>
    <w:p w14:paraId="1B9A1FCA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Koeficient k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0,133</w:t>
      </w:r>
    </w:p>
    <w:p w14:paraId="1B9A1FCB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Plocha otvorů </w:t>
      </w:r>
      <w:proofErr w:type="spellStart"/>
      <w:proofErr w:type="gram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pož.úseku</w:t>
      </w:r>
      <w:proofErr w:type="spellEnd"/>
      <w:proofErr w:type="gram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S</w:t>
      </w:r>
      <w:r w:rsidRPr="00333281">
        <w:rPr>
          <w:rFonts w:ascii="Tahoma" w:eastAsia="Times New Roman" w:hAnsi="Tahoma" w:cs="Tahoma"/>
          <w:position w:val="-2"/>
          <w:sz w:val="10"/>
          <w:szCs w:val="12"/>
          <w:lang w:eastAsia="cs-CZ"/>
        </w:rPr>
        <w:t>o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45,00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</w:t>
      </w:r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2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CC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Průměrná výška otvorů </w:t>
      </w:r>
      <w:proofErr w:type="spellStart"/>
      <w:proofErr w:type="gram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pož.úseku</w:t>
      </w:r>
      <w:proofErr w:type="spellEnd"/>
      <w:proofErr w:type="gram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h</w:t>
      </w:r>
      <w:r w:rsidRPr="00333281">
        <w:rPr>
          <w:rFonts w:ascii="Tahoma" w:eastAsia="Times New Roman" w:hAnsi="Tahoma" w:cs="Tahoma"/>
          <w:position w:val="-2"/>
          <w:sz w:val="10"/>
          <w:szCs w:val="12"/>
          <w:lang w:eastAsia="cs-CZ"/>
        </w:rPr>
        <w:t>o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1,50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CD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Parametr odvětrání F</w:t>
      </w:r>
      <w:r w:rsidRPr="00333281">
        <w:rPr>
          <w:rFonts w:ascii="Tahoma" w:eastAsia="Times New Roman" w:hAnsi="Tahoma" w:cs="Tahoma"/>
          <w:position w:val="-2"/>
          <w:sz w:val="10"/>
          <w:szCs w:val="12"/>
          <w:lang w:eastAsia="cs-CZ"/>
        </w:rPr>
        <w:t>o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0,035</w:t>
      </w:r>
    </w:p>
    <w:p w14:paraId="1B9A1FCE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Průměrná světlá výška </w:t>
      </w:r>
      <w:proofErr w:type="spellStart"/>
      <w:proofErr w:type="gram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pož.úseku</w:t>
      </w:r>
      <w:proofErr w:type="spellEnd"/>
      <w:proofErr w:type="gram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h</w:t>
      </w:r>
      <w:r w:rsidRPr="00333281">
        <w:rPr>
          <w:rFonts w:ascii="Tahoma" w:eastAsia="Times New Roman" w:hAnsi="Tahoma" w:cs="Tahoma"/>
          <w:position w:val="-2"/>
          <w:sz w:val="10"/>
          <w:szCs w:val="12"/>
          <w:lang w:eastAsia="cs-CZ"/>
        </w:rPr>
        <w:t>s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3,44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CF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Požární zatížení p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26,98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kg.m</w:t>
      </w:r>
      <w:proofErr w:type="spellEnd"/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-2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D0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Koeficient a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0,826</w:t>
      </w:r>
    </w:p>
    <w:p w14:paraId="1B9A1FD1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Koeficient b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1,56</w:t>
      </w:r>
    </w:p>
    <w:p w14:paraId="1B9A1FD2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Koeficient c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1,00</w:t>
      </w:r>
    </w:p>
    <w:p w14:paraId="1B9A1FD3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Normová teplota TN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863,95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[°C]</w:t>
      </w:r>
    </w:p>
    <w:p w14:paraId="1B9A1FD4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Čas zakouření t</w:t>
      </w:r>
      <w:r w:rsidRPr="00333281">
        <w:rPr>
          <w:rFonts w:ascii="Tahoma" w:eastAsia="Times New Roman" w:hAnsi="Tahoma" w:cs="Tahoma"/>
          <w:position w:val="-2"/>
          <w:sz w:val="10"/>
          <w:szCs w:val="12"/>
          <w:lang w:eastAsia="cs-CZ"/>
        </w:rPr>
        <w:t>e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2,81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[min]</w:t>
      </w:r>
    </w:p>
    <w:p w14:paraId="1B9A1FD5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Maximální délka </w:t>
      </w:r>
      <w:proofErr w:type="spellStart"/>
      <w:proofErr w:type="gram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pož.úseku</w:t>
      </w:r>
      <w:proofErr w:type="spellEnd"/>
      <w:proofErr w:type="gram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75,51</w:t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[m]</w:t>
      </w:r>
    </w:p>
    <w:p w14:paraId="1B9A1FD6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Maximální šířka </w:t>
      </w:r>
      <w:proofErr w:type="spellStart"/>
      <w:proofErr w:type="gram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pož.úseku</w:t>
      </w:r>
      <w:proofErr w:type="spellEnd"/>
      <w:proofErr w:type="gram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46,94</w:t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[m]</w:t>
      </w:r>
    </w:p>
    <w:p w14:paraId="1B9A1FD7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Maximální plocha </w:t>
      </w:r>
      <w:proofErr w:type="spellStart"/>
      <w:proofErr w:type="gram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pož.úseku</w:t>
      </w:r>
      <w:proofErr w:type="spellEnd"/>
      <w:proofErr w:type="gramEnd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3 544,70</w:t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[m</w:t>
      </w:r>
      <w:r w:rsidRPr="00333281">
        <w:rPr>
          <w:rFonts w:ascii="Tahoma" w:eastAsia="Times New Roman" w:hAnsi="Tahoma" w:cs="Tahoma"/>
          <w:sz w:val="18"/>
          <w:szCs w:val="20"/>
          <w:vertAlign w:val="superscript"/>
          <w:lang w:eastAsia="cs-CZ"/>
        </w:rPr>
        <w:t>2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D8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Maximální počet užitných podlaží z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5,17</w:t>
      </w:r>
    </w:p>
    <w:p w14:paraId="1B9A1FD9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200"/>
        <w:ind w:left="720"/>
        <w:rPr>
          <w:rFonts w:ascii="Tahoma" w:eastAsia="Times New Roman" w:hAnsi="Tahoma" w:cs="Tahoma"/>
          <w:b/>
          <w:bCs/>
          <w:sz w:val="18"/>
          <w:szCs w:val="20"/>
          <w:u w:val="single"/>
          <w:lang w:eastAsia="cs-CZ"/>
        </w:rPr>
      </w:pPr>
      <w:r w:rsidRPr="00333281">
        <w:rPr>
          <w:rFonts w:ascii="Tahoma" w:eastAsia="Times New Roman" w:hAnsi="Tahoma" w:cs="Tahoma"/>
          <w:b/>
          <w:bCs/>
          <w:sz w:val="18"/>
          <w:szCs w:val="20"/>
          <w:u w:val="single"/>
          <w:lang w:eastAsia="cs-CZ"/>
        </w:rPr>
        <w:t>Požadavky na zásobování požární vodou a na počet PHP</w:t>
      </w:r>
    </w:p>
    <w:p w14:paraId="1B9A1FDA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Počet PHP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4 (přesně 3,46)</w:t>
      </w:r>
    </w:p>
    <w:p w14:paraId="1B9A1FDB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Počet hasicích jednotek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21</w:t>
      </w:r>
    </w:p>
    <w:p w14:paraId="1B9A1FDC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200"/>
        <w:ind w:left="720"/>
        <w:rPr>
          <w:rFonts w:ascii="Tahoma" w:eastAsia="Times New Roman" w:hAnsi="Tahoma" w:cs="Tahoma"/>
          <w:sz w:val="18"/>
          <w:szCs w:val="20"/>
          <w:u w:val="single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u w:val="single"/>
          <w:lang w:eastAsia="cs-CZ"/>
        </w:rPr>
        <w:t>a) Vnější odběrná místa</w:t>
      </w:r>
    </w:p>
    <w:p w14:paraId="1B9A1FDD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b/>
          <w:bCs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Vzdálenosti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od objektu/mezi sebou</w:t>
      </w:r>
    </w:p>
    <w:p w14:paraId="1B9A1FDE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 •  hydrant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150/300(300/500)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DF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 •  výtokový stojan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600/1200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E0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 •  plnící místo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2500/5000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E1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 •  vodní tok nebo nádrž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600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[m]</w:t>
      </w:r>
    </w:p>
    <w:p w14:paraId="1B9A1FE2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Potrubí DN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100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[mm]</w:t>
      </w:r>
    </w:p>
    <w:p w14:paraId="1B9A1FE3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Odběr Q pro 0,8 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m.s</w:t>
      </w:r>
      <w:proofErr w:type="spellEnd"/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-1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6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l.s</w:t>
      </w:r>
      <w:proofErr w:type="spellEnd"/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-1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E4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Odběr Q pro 1,5 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m.s</w:t>
      </w:r>
      <w:proofErr w:type="spellEnd"/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-1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12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</w:t>
      </w:r>
      <w:proofErr w:type="spellStart"/>
      <w:r w:rsidRPr="00333281">
        <w:rPr>
          <w:rFonts w:ascii="Tahoma" w:eastAsia="Times New Roman" w:hAnsi="Tahoma" w:cs="Tahoma"/>
          <w:sz w:val="18"/>
          <w:szCs w:val="20"/>
          <w:lang w:eastAsia="cs-CZ"/>
        </w:rPr>
        <w:t>l.s</w:t>
      </w:r>
      <w:proofErr w:type="spellEnd"/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-1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E5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 xml:space="preserve">  Obsah nádrže požární vody 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</w:r>
      <w:r w:rsidRPr="00333281">
        <w:rPr>
          <w:rFonts w:ascii="Tahoma" w:eastAsia="Times New Roman" w:hAnsi="Tahoma" w:cs="Tahoma"/>
          <w:b/>
          <w:bCs/>
          <w:sz w:val="18"/>
          <w:szCs w:val="20"/>
          <w:lang w:eastAsia="cs-CZ"/>
        </w:rPr>
        <w:t>22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ab/>
        <w:t>[m</w:t>
      </w:r>
      <w:r w:rsidRPr="00333281">
        <w:rPr>
          <w:rFonts w:ascii="Tahoma" w:eastAsia="Times New Roman" w:hAnsi="Tahoma" w:cs="Tahoma"/>
          <w:position w:val="2"/>
          <w:sz w:val="10"/>
          <w:szCs w:val="12"/>
          <w:lang w:eastAsia="cs-CZ"/>
        </w:rPr>
        <w:t>3</w:t>
      </w: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]</w:t>
      </w:r>
    </w:p>
    <w:p w14:paraId="1B9A1FE6" w14:textId="77777777" w:rsidR="00333281" w:rsidRPr="00333281" w:rsidRDefault="00333281" w:rsidP="00333281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Tahoma" w:eastAsia="Times New Roman" w:hAnsi="Tahoma" w:cs="Tahoma"/>
          <w:sz w:val="18"/>
          <w:szCs w:val="20"/>
          <w:lang w:eastAsia="cs-CZ"/>
        </w:rPr>
      </w:pPr>
      <w:r w:rsidRPr="00333281">
        <w:rPr>
          <w:rFonts w:ascii="Tahoma" w:eastAsia="Times New Roman" w:hAnsi="Tahoma" w:cs="Tahoma"/>
          <w:sz w:val="18"/>
          <w:szCs w:val="20"/>
          <w:lang w:eastAsia="cs-CZ"/>
        </w:rPr>
        <w:t>Pozn.: hodnota v závorce musí být prokázána analýzou zdolávání požáru (viz. ČSN 73 0873 příloha B)</w:t>
      </w:r>
    </w:p>
    <w:p w14:paraId="1B9A1FE7" w14:textId="77777777" w:rsidR="00C40690" w:rsidRPr="00B02224" w:rsidRDefault="00C40690" w:rsidP="00C40690">
      <w:pPr>
        <w:tabs>
          <w:tab w:val="right" w:leader="dot" w:pos="7500"/>
          <w:tab w:val="left" w:pos="7575"/>
        </w:tabs>
        <w:autoSpaceDE w:val="0"/>
        <w:autoSpaceDN w:val="0"/>
        <w:adjustRightInd w:val="0"/>
        <w:ind w:left="720"/>
        <w:rPr>
          <w:rFonts w:ascii="ISOCPEUR" w:eastAsia="Times New Roman" w:hAnsi="ISOCPEUR" w:cs="Tahoma"/>
          <w:b/>
          <w:bCs/>
          <w:sz w:val="16"/>
          <w:szCs w:val="16"/>
          <w:highlight w:val="yellow"/>
          <w:lang w:eastAsia="cs-CZ"/>
        </w:rPr>
      </w:pPr>
    </w:p>
    <w:p w14:paraId="1B9A1FE8" w14:textId="77777777" w:rsidR="00355046" w:rsidRPr="00B02224" w:rsidRDefault="00355046" w:rsidP="0096776F">
      <w:pPr>
        <w:rPr>
          <w:rFonts w:ascii="ISOCPEUR" w:hAnsi="ISOCPEUR"/>
          <w:sz w:val="16"/>
          <w:szCs w:val="16"/>
          <w:highlight w:val="yellow"/>
          <w:lang w:eastAsia="cs-CZ"/>
        </w:rPr>
        <w:sectPr w:rsidR="00355046" w:rsidRPr="00B02224" w:rsidSect="0074597C">
          <w:footerReference w:type="default" r:id="rId9"/>
          <w:pgSz w:w="11906" w:h="16838"/>
          <w:pgMar w:top="1417" w:right="1417" w:bottom="1985" w:left="1417" w:header="708" w:footer="708" w:gutter="0"/>
          <w:cols w:space="708"/>
          <w:titlePg/>
          <w:docGrid w:linePitch="360"/>
        </w:sectPr>
      </w:pPr>
    </w:p>
    <w:p w14:paraId="1B9A1FE9" w14:textId="7F3CD097" w:rsidR="00355046" w:rsidRPr="00ED0CE5" w:rsidRDefault="00670DB8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  <w:r w:rsidRPr="00ED0CE5">
        <w:rPr>
          <w:rFonts w:ascii="ISOCPEUR" w:hAnsi="ISOCPEUR" w:cs="Arial"/>
          <w:b/>
          <w:sz w:val="28"/>
          <w:szCs w:val="28"/>
        </w:rPr>
        <w:lastRenderedPageBreak/>
        <w:t>P</w:t>
      </w:r>
      <w:r w:rsidR="00355046" w:rsidRPr="00ED0CE5">
        <w:rPr>
          <w:rFonts w:ascii="ISOCPEUR" w:hAnsi="ISOCPEUR" w:cs="Arial"/>
          <w:b/>
          <w:sz w:val="28"/>
          <w:szCs w:val="28"/>
        </w:rPr>
        <w:t>říloha č. 2 - Výkresová část</w:t>
      </w:r>
    </w:p>
    <w:p w14:paraId="1B9A1FEA" w14:textId="5B1B3FF8" w:rsidR="00691494" w:rsidRDefault="00431AAE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  <w:r w:rsidRPr="0001322B">
        <w:rPr>
          <w:rFonts w:ascii="ISOCPEUR" w:hAnsi="ISOCPEUR" w:cs="Arial"/>
          <w:b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B84522E" wp14:editId="71178352">
            <wp:simplePos x="0" y="0"/>
            <wp:positionH relativeFrom="column">
              <wp:posOffset>-209550</wp:posOffset>
            </wp:positionH>
            <wp:positionV relativeFrom="paragraph">
              <wp:posOffset>76835</wp:posOffset>
            </wp:positionV>
            <wp:extent cx="8531860" cy="6073140"/>
            <wp:effectExtent l="0" t="0" r="0" b="0"/>
            <wp:wrapNone/>
            <wp:docPr id="651092872" name="Obrázek 1" descr="Obsah obrázku diagram, skica, Technický výkres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092872" name="Obrázek 1" descr="Obsah obrázku diagram, skica, Technický výkres, Plán&#10;&#10;Popis byl vytvořen automaticky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1860" cy="607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A1FEB" w14:textId="40934F4B" w:rsidR="00691494" w:rsidRDefault="00431AAE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  <w:r>
        <w:rPr>
          <w:rFonts w:ascii="ISOCPEUR" w:hAnsi="ISOCPEUR" w:cs="Arial"/>
          <w:b/>
          <w:noProof/>
          <w:sz w:val="28"/>
          <w:szCs w:val="28"/>
          <w:lang w:eastAsia="cs-CZ"/>
        </w:rPr>
        <w:pict w14:anchorId="1B9A2002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left:0;text-align:left;margin-left:199.2pt;margin-top:14.4pt;width:164.4pt;height:34pt;z-index:251671040" adj="12455,62989" strokecolor="red">
            <v:textbox>
              <w:txbxContent>
                <w:p w14:paraId="1B9A2013" w14:textId="77777777" w:rsidR="007B0007" w:rsidRPr="00691494" w:rsidRDefault="007B0007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Požární roleta EI 30 - EPS</w:t>
                  </w:r>
                </w:p>
              </w:txbxContent>
            </v:textbox>
          </v:shape>
        </w:pict>
      </w:r>
    </w:p>
    <w:p w14:paraId="1B9A1FEC" w14:textId="608099A6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ED" w14:textId="77777777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EE" w14:textId="77777777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EF" w14:textId="3121D6BE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F0" w14:textId="60634B0D" w:rsidR="00691494" w:rsidRDefault="00431AAE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  <w:r>
        <w:rPr>
          <w:rFonts w:ascii="ISOCPEUR" w:hAnsi="ISOCPEUR" w:cs="Arial"/>
          <w:b/>
          <w:noProof/>
          <w:sz w:val="28"/>
          <w:szCs w:val="28"/>
          <w:lang w:eastAsia="cs-CZ"/>
        </w:rPr>
        <w:pict w14:anchorId="1B9A200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1.2pt;margin-top:6.45pt;width:168.1pt;height:.05pt;z-index:251673088" o:connectortype="straight" strokecolor="red" strokeweight="4.5pt">
            <v:stroke dashstyle="dashDot"/>
          </v:shape>
        </w:pict>
      </w:r>
      <w:r>
        <w:rPr>
          <w:rFonts w:ascii="ISOCPEUR" w:hAnsi="ISOCPEUR" w:cs="Arial"/>
          <w:b/>
          <w:noProof/>
          <w:sz w:val="28"/>
          <w:szCs w:val="28"/>
          <w:lang w:eastAsia="cs-CZ"/>
        </w:rPr>
        <w:pict w14:anchorId="1B9A2003">
          <v:shape id="_x0000_s1028" type="#_x0000_t32" style="position:absolute;left:0;text-align:left;margin-left:390.5pt;margin-top:14.15pt;width:0;height:232pt;z-index:251672064" o:connectortype="straight" strokecolor="red" strokeweight="4.5pt">
            <v:stroke dashstyle="dashDot"/>
          </v:shape>
        </w:pict>
      </w:r>
    </w:p>
    <w:p w14:paraId="1B9A1FF1" w14:textId="5C432C61" w:rsidR="00691494" w:rsidRDefault="00D73AEB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  <w:r>
        <w:rPr>
          <w:rFonts w:ascii="ISOCPEUR" w:hAnsi="ISOCPEUR" w:cs="Arial"/>
          <w:b/>
          <w:noProof/>
          <w:sz w:val="28"/>
          <w:szCs w:val="28"/>
          <w:lang w:eastAsia="cs-CZ"/>
        </w:rPr>
        <w:pict w14:anchorId="1B9A2006">
          <v:shape id="_x0000_s1030" type="#_x0000_t62" style="position:absolute;left:0;text-align:left;margin-left:412.1pt;margin-top:2.4pt;width:145.25pt;height:37.05pt;z-index:251674112" adj="-1405,41626" strokecolor="red">
            <v:textbox>
              <w:txbxContent>
                <w:p w14:paraId="1B9A2014" w14:textId="023B2FEC" w:rsidR="007B0007" w:rsidRPr="00691494" w:rsidRDefault="007B0007">
                  <w:pPr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 xml:space="preserve">Požární </w:t>
                  </w:r>
                  <w:proofErr w:type="gramStart"/>
                  <w:r>
                    <w:rPr>
                      <w:b/>
                      <w:color w:val="FF0000"/>
                    </w:rPr>
                    <w:t>stěna  EI</w:t>
                  </w:r>
                  <w:proofErr w:type="gramEnd"/>
                  <w:r>
                    <w:rPr>
                      <w:b/>
                      <w:color w:val="FF0000"/>
                    </w:rPr>
                    <w:t xml:space="preserve"> 30</w:t>
                  </w:r>
                  <w:r w:rsidR="00D73AEB">
                    <w:rPr>
                      <w:b/>
                      <w:color w:val="FF0000"/>
                    </w:rPr>
                    <w:t>, včetně výplní otvorů</w:t>
                  </w:r>
                </w:p>
              </w:txbxContent>
            </v:textbox>
          </v:shape>
        </w:pict>
      </w:r>
    </w:p>
    <w:p w14:paraId="1B9A1FF2" w14:textId="77777777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F3" w14:textId="77777777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F4" w14:textId="77777777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F5" w14:textId="77777777" w:rsidR="00691494" w:rsidRDefault="00691494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</w:rPr>
      </w:pPr>
    </w:p>
    <w:p w14:paraId="1B9A1FF6" w14:textId="77777777" w:rsidR="009E3B3A" w:rsidRPr="00B02224" w:rsidRDefault="009E3B3A" w:rsidP="00355046">
      <w:pPr>
        <w:pStyle w:val="Standard"/>
        <w:spacing w:before="60" w:line="276" w:lineRule="auto"/>
        <w:jc w:val="both"/>
        <w:rPr>
          <w:rFonts w:ascii="ISOCPEUR" w:hAnsi="ISOCPEUR" w:cs="Arial"/>
          <w:b/>
          <w:sz w:val="28"/>
          <w:szCs w:val="28"/>
          <w:highlight w:val="yellow"/>
        </w:rPr>
      </w:pPr>
    </w:p>
    <w:sectPr w:rsidR="009E3B3A" w:rsidRPr="00B02224" w:rsidSect="009E3B3A">
      <w:footerReference w:type="default" r:id="rId11"/>
      <w:pgSz w:w="16838" w:h="11906" w:orient="landscape"/>
      <w:pgMar w:top="426" w:right="1417" w:bottom="28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2009" w14:textId="77777777" w:rsidR="00397EDC" w:rsidRDefault="00397EDC" w:rsidP="00541214">
      <w:r>
        <w:separator/>
      </w:r>
    </w:p>
  </w:endnote>
  <w:endnote w:type="continuationSeparator" w:id="0">
    <w:p w14:paraId="1B9A200A" w14:textId="77777777" w:rsidR="00397EDC" w:rsidRDefault="00397EDC" w:rsidP="0054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31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938"/>
      <w:gridCol w:w="2093"/>
    </w:tblGrid>
    <w:tr w:rsidR="007B0007" w:rsidRPr="00C0435C" w14:paraId="1B9A2010" w14:textId="77777777" w:rsidTr="00D33B1F">
      <w:tc>
        <w:tcPr>
          <w:tcW w:w="7938" w:type="dxa"/>
        </w:tcPr>
        <w:p w14:paraId="1B9A200B" w14:textId="77777777" w:rsidR="007B0007" w:rsidRPr="00C0435C" w:rsidRDefault="007B0007" w:rsidP="004654B5">
          <w:pPr>
            <w:pStyle w:val="Zhlav"/>
            <w:tabs>
              <w:tab w:val="clear" w:pos="9072"/>
              <w:tab w:val="right" w:pos="9720"/>
            </w:tabs>
            <w:ind w:left="1344" w:right="-648"/>
            <w:rPr>
              <w:rFonts w:ascii="Garamond" w:hAnsi="Garamond" w:cs="Calibri"/>
              <w:b/>
              <w:sz w:val="16"/>
              <w:szCs w:val="16"/>
            </w:rPr>
          </w:pPr>
        </w:p>
        <w:p w14:paraId="1B9A200C" w14:textId="77777777" w:rsidR="007B0007" w:rsidRPr="00C0435C" w:rsidRDefault="007B0007" w:rsidP="00B976E5">
          <w:pPr>
            <w:pStyle w:val="Zhlav"/>
            <w:tabs>
              <w:tab w:val="clear" w:pos="9072"/>
              <w:tab w:val="right" w:pos="9720"/>
            </w:tabs>
            <w:ind w:right="34"/>
            <w:jc w:val="right"/>
            <w:rPr>
              <w:rFonts w:ascii="Garamond" w:hAnsi="Garamond" w:cs="Calibri"/>
              <w:b/>
              <w:sz w:val="16"/>
              <w:szCs w:val="16"/>
            </w:rPr>
          </w:pPr>
        </w:p>
      </w:tc>
      <w:tc>
        <w:tcPr>
          <w:tcW w:w="2093" w:type="dxa"/>
        </w:tcPr>
        <w:p w14:paraId="1B9A200D" w14:textId="77777777" w:rsidR="007B0007" w:rsidRPr="00C0435C" w:rsidRDefault="007B0007" w:rsidP="004654B5">
          <w:pPr>
            <w:pStyle w:val="Zpat"/>
            <w:jc w:val="right"/>
            <w:rPr>
              <w:rFonts w:ascii="Garamond" w:hAnsi="Garamond" w:cs="Calibri"/>
              <w:sz w:val="20"/>
              <w:szCs w:val="20"/>
            </w:rPr>
          </w:pPr>
        </w:p>
        <w:p w14:paraId="1B9A200E" w14:textId="77777777" w:rsidR="007B0007" w:rsidRPr="00C0435C" w:rsidRDefault="007B0007" w:rsidP="004654B5">
          <w:pPr>
            <w:pStyle w:val="Zpat"/>
            <w:jc w:val="right"/>
            <w:rPr>
              <w:rFonts w:ascii="Garamond" w:hAnsi="Garamond" w:cs="Calibri"/>
              <w:sz w:val="20"/>
              <w:szCs w:val="20"/>
            </w:rPr>
          </w:pPr>
          <w:r w:rsidRPr="00C0435C">
            <w:rPr>
              <w:rFonts w:ascii="Garamond" w:hAnsi="Garamond" w:cs="Calibri"/>
              <w:sz w:val="20"/>
              <w:szCs w:val="20"/>
            </w:rPr>
            <w:t xml:space="preserve">Strana </w:t>
          </w:r>
          <w:r w:rsidR="00AB44EC" w:rsidRPr="00C0435C">
            <w:rPr>
              <w:rFonts w:ascii="Garamond" w:hAnsi="Garamond" w:cs="Calibri"/>
              <w:sz w:val="20"/>
              <w:szCs w:val="20"/>
            </w:rPr>
            <w:fldChar w:fldCharType="begin"/>
          </w:r>
          <w:r w:rsidRPr="00C0435C">
            <w:rPr>
              <w:rFonts w:ascii="Garamond" w:hAnsi="Garamond" w:cs="Calibri"/>
              <w:sz w:val="20"/>
              <w:szCs w:val="20"/>
            </w:rPr>
            <w:instrText xml:space="preserve"> PAGE </w:instrText>
          </w:r>
          <w:r w:rsidR="00AB44EC" w:rsidRPr="00C0435C">
            <w:rPr>
              <w:rFonts w:ascii="Garamond" w:hAnsi="Garamond" w:cs="Calibri"/>
              <w:sz w:val="20"/>
              <w:szCs w:val="20"/>
            </w:rPr>
            <w:fldChar w:fldCharType="separate"/>
          </w:r>
          <w:r w:rsidR="00BB1376">
            <w:rPr>
              <w:rFonts w:ascii="Garamond" w:hAnsi="Garamond" w:cs="Calibri"/>
              <w:noProof/>
              <w:sz w:val="20"/>
              <w:szCs w:val="20"/>
            </w:rPr>
            <w:t>13</w:t>
          </w:r>
          <w:r w:rsidR="00AB44EC" w:rsidRPr="00C0435C">
            <w:rPr>
              <w:rFonts w:ascii="Garamond" w:hAnsi="Garamond" w:cs="Calibri"/>
              <w:sz w:val="20"/>
              <w:szCs w:val="20"/>
            </w:rPr>
            <w:fldChar w:fldCharType="end"/>
          </w:r>
          <w:r w:rsidRPr="00C0435C">
            <w:rPr>
              <w:rFonts w:ascii="Garamond" w:hAnsi="Garamond" w:cs="Calibri"/>
              <w:sz w:val="20"/>
              <w:szCs w:val="20"/>
            </w:rPr>
            <w:t xml:space="preserve"> (celkem </w:t>
          </w:r>
          <w:r w:rsidR="00AB44EC" w:rsidRPr="00C0435C">
            <w:rPr>
              <w:rFonts w:ascii="Garamond" w:hAnsi="Garamond" w:cs="Calibri"/>
              <w:sz w:val="20"/>
              <w:szCs w:val="20"/>
            </w:rPr>
            <w:fldChar w:fldCharType="begin"/>
          </w:r>
          <w:r w:rsidRPr="00C0435C">
            <w:rPr>
              <w:rFonts w:ascii="Garamond" w:hAnsi="Garamond" w:cs="Calibri"/>
              <w:sz w:val="20"/>
              <w:szCs w:val="20"/>
            </w:rPr>
            <w:instrText xml:space="preserve"> NUMPAGES </w:instrText>
          </w:r>
          <w:r w:rsidR="00AB44EC" w:rsidRPr="00C0435C">
            <w:rPr>
              <w:rFonts w:ascii="Garamond" w:hAnsi="Garamond" w:cs="Calibri"/>
              <w:sz w:val="20"/>
              <w:szCs w:val="20"/>
            </w:rPr>
            <w:fldChar w:fldCharType="separate"/>
          </w:r>
          <w:r w:rsidR="00BB1376">
            <w:rPr>
              <w:rFonts w:ascii="Garamond" w:hAnsi="Garamond" w:cs="Calibri"/>
              <w:noProof/>
              <w:sz w:val="20"/>
              <w:szCs w:val="20"/>
            </w:rPr>
            <w:t>14</w:t>
          </w:r>
          <w:r w:rsidR="00AB44EC" w:rsidRPr="00C0435C">
            <w:rPr>
              <w:rFonts w:ascii="Garamond" w:hAnsi="Garamond" w:cs="Calibri"/>
              <w:sz w:val="20"/>
              <w:szCs w:val="20"/>
            </w:rPr>
            <w:fldChar w:fldCharType="end"/>
          </w:r>
          <w:r w:rsidRPr="00C0435C">
            <w:rPr>
              <w:rFonts w:ascii="Garamond" w:hAnsi="Garamond" w:cs="Calibri"/>
              <w:sz w:val="20"/>
              <w:szCs w:val="20"/>
            </w:rPr>
            <w:t>)</w:t>
          </w:r>
        </w:p>
        <w:p w14:paraId="1B9A200F" w14:textId="77777777" w:rsidR="007B0007" w:rsidRPr="00C0435C" w:rsidRDefault="007B0007" w:rsidP="004654B5">
          <w:pPr>
            <w:pStyle w:val="Zhlav"/>
            <w:tabs>
              <w:tab w:val="clear" w:pos="9072"/>
              <w:tab w:val="right" w:pos="9720"/>
            </w:tabs>
            <w:ind w:right="-648"/>
            <w:rPr>
              <w:rFonts w:ascii="Garamond" w:hAnsi="Garamond" w:cs="Calibri"/>
              <w:b/>
              <w:sz w:val="16"/>
              <w:szCs w:val="16"/>
            </w:rPr>
          </w:pPr>
        </w:p>
      </w:tc>
    </w:tr>
  </w:tbl>
  <w:p w14:paraId="1B9A2011" w14:textId="77777777" w:rsidR="007B0007" w:rsidRPr="00C13B22" w:rsidRDefault="007B0007" w:rsidP="00E66317">
    <w:pPr>
      <w:pStyle w:val="Zpat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2012" w14:textId="77777777" w:rsidR="007B0007" w:rsidRPr="00FF5448" w:rsidRDefault="007B0007" w:rsidP="00FF5448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A2007" w14:textId="77777777" w:rsidR="00397EDC" w:rsidRDefault="00397EDC" w:rsidP="00541214">
      <w:r>
        <w:separator/>
      </w:r>
    </w:p>
  </w:footnote>
  <w:footnote w:type="continuationSeparator" w:id="0">
    <w:p w14:paraId="1B9A2008" w14:textId="77777777" w:rsidR="00397EDC" w:rsidRDefault="00397EDC" w:rsidP="00541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F511F"/>
    <w:multiLevelType w:val="hybridMultilevel"/>
    <w:tmpl w:val="F5DE04A0"/>
    <w:lvl w:ilvl="0" w:tplc="8F6E0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C3409"/>
    <w:multiLevelType w:val="multilevel"/>
    <w:tmpl w:val="D8A49C4A"/>
    <w:lvl w:ilvl="0">
      <w:start w:val="1"/>
      <w:numFmt w:val="lowerLetter"/>
      <w:pStyle w:val="Nadpis1"/>
      <w:lvlText w:val="%1)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711"/>
        </w:tabs>
        <w:ind w:left="1711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DA12C6D"/>
    <w:multiLevelType w:val="hybridMultilevel"/>
    <w:tmpl w:val="2F8447AC"/>
    <w:lvl w:ilvl="0" w:tplc="398E6B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84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CC4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A67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24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4C9F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628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84FD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72B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B68C7"/>
    <w:multiLevelType w:val="multilevel"/>
    <w:tmpl w:val="770681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7BC6AB2"/>
    <w:multiLevelType w:val="hybridMultilevel"/>
    <w:tmpl w:val="F76451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1A14"/>
    <w:multiLevelType w:val="hybridMultilevel"/>
    <w:tmpl w:val="54B4EF18"/>
    <w:lvl w:ilvl="0" w:tplc="455A1C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14C41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606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D25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44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2A96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3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CD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ECCD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C64FF"/>
    <w:multiLevelType w:val="multilevel"/>
    <w:tmpl w:val="D7EE67CA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caps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B7306EA"/>
    <w:multiLevelType w:val="hybridMultilevel"/>
    <w:tmpl w:val="EC784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B3A88"/>
    <w:multiLevelType w:val="hybridMultilevel"/>
    <w:tmpl w:val="74E852AE"/>
    <w:lvl w:ilvl="0" w:tplc="E0BE8016">
      <w:start w:val="1"/>
      <w:numFmt w:val="bullet"/>
      <w:lvlText w:val="-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3F5CFAF6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5CFA368A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C7020C8A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8488EC52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94CAB89E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186CC9E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643CD6D2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CE16E10E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9" w15:restartNumberingAfterBreak="0">
    <w:nsid w:val="5FB27104"/>
    <w:multiLevelType w:val="hybridMultilevel"/>
    <w:tmpl w:val="5DEEDEB4"/>
    <w:lvl w:ilvl="0" w:tplc="04050001">
      <w:start w:val="1"/>
      <w:numFmt w:val="bullet"/>
      <w:pStyle w:val="StylZkladntextTimesNewRoman12bVpravo01cmd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042135F"/>
    <w:multiLevelType w:val="hybridMultilevel"/>
    <w:tmpl w:val="8DBCF3C4"/>
    <w:lvl w:ilvl="0" w:tplc="8F6E0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353D2C"/>
    <w:multiLevelType w:val="hybridMultilevel"/>
    <w:tmpl w:val="4A04C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BF577C"/>
    <w:multiLevelType w:val="hybridMultilevel"/>
    <w:tmpl w:val="DC261F4A"/>
    <w:lvl w:ilvl="0" w:tplc="86D2A7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5C61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3827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C62F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50F7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C6CD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A673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263C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02A42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F6BCF"/>
    <w:multiLevelType w:val="hybridMultilevel"/>
    <w:tmpl w:val="7F3224CE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C0A7C"/>
    <w:multiLevelType w:val="hybridMultilevel"/>
    <w:tmpl w:val="DA686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903112">
    <w:abstractNumId w:val="9"/>
  </w:num>
  <w:num w:numId="2" w16cid:durableId="1084452632">
    <w:abstractNumId w:val="6"/>
  </w:num>
  <w:num w:numId="3" w16cid:durableId="1716461519">
    <w:abstractNumId w:val="11"/>
  </w:num>
  <w:num w:numId="4" w16cid:durableId="1222134376">
    <w:abstractNumId w:val="0"/>
  </w:num>
  <w:num w:numId="5" w16cid:durableId="543642747">
    <w:abstractNumId w:val="7"/>
  </w:num>
  <w:num w:numId="6" w16cid:durableId="702099326">
    <w:abstractNumId w:val="10"/>
  </w:num>
  <w:num w:numId="7" w16cid:durableId="1269199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1471119">
    <w:abstractNumId w:val="12"/>
  </w:num>
  <w:num w:numId="9" w16cid:durableId="23949381">
    <w:abstractNumId w:val="14"/>
  </w:num>
  <w:num w:numId="10" w16cid:durableId="839075978">
    <w:abstractNumId w:val="3"/>
  </w:num>
  <w:num w:numId="11" w16cid:durableId="642464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4306672">
    <w:abstractNumId w:val="5"/>
  </w:num>
  <w:num w:numId="13" w16cid:durableId="885024025">
    <w:abstractNumId w:val="8"/>
  </w:num>
  <w:num w:numId="14" w16cid:durableId="161892251">
    <w:abstractNumId w:val="2"/>
  </w:num>
  <w:num w:numId="15" w16cid:durableId="735587644">
    <w:abstractNumId w:val="13"/>
  </w:num>
  <w:num w:numId="16" w16cid:durableId="1028876447">
    <w:abstractNumId w:val="1"/>
  </w:num>
  <w:num w:numId="17" w16cid:durableId="822547487">
    <w:abstractNumId w:val="1"/>
  </w:num>
  <w:num w:numId="18" w16cid:durableId="1886521041">
    <w:abstractNumId w:val="1"/>
  </w:num>
  <w:num w:numId="19" w16cid:durableId="1011956138">
    <w:abstractNumId w:val="4"/>
  </w:num>
  <w:num w:numId="20" w16cid:durableId="1405836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7457">
      <o:colormenu v:ext="edit" fillcolor="#00b0f0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D3C"/>
    <w:rsid w:val="0000111D"/>
    <w:rsid w:val="00001DF8"/>
    <w:rsid w:val="00004B06"/>
    <w:rsid w:val="00005017"/>
    <w:rsid w:val="00005125"/>
    <w:rsid w:val="0001249C"/>
    <w:rsid w:val="000129F7"/>
    <w:rsid w:val="0001322B"/>
    <w:rsid w:val="000158E6"/>
    <w:rsid w:val="00017BC4"/>
    <w:rsid w:val="00017F6F"/>
    <w:rsid w:val="00020B3B"/>
    <w:rsid w:val="00021331"/>
    <w:rsid w:val="00021ECC"/>
    <w:rsid w:val="00022DDE"/>
    <w:rsid w:val="000233C5"/>
    <w:rsid w:val="0002633D"/>
    <w:rsid w:val="00027B3B"/>
    <w:rsid w:val="00030219"/>
    <w:rsid w:val="00032348"/>
    <w:rsid w:val="000358EF"/>
    <w:rsid w:val="000365A4"/>
    <w:rsid w:val="00037CA3"/>
    <w:rsid w:val="00040092"/>
    <w:rsid w:val="00041762"/>
    <w:rsid w:val="000417FF"/>
    <w:rsid w:val="00045F42"/>
    <w:rsid w:val="00046673"/>
    <w:rsid w:val="00047CB5"/>
    <w:rsid w:val="00047F69"/>
    <w:rsid w:val="00050141"/>
    <w:rsid w:val="00051055"/>
    <w:rsid w:val="000521BB"/>
    <w:rsid w:val="00053D8C"/>
    <w:rsid w:val="00053F28"/>
    <w:rsid w:val="00054893"/>
    <w:rsid w:val="00054A42"/>
    <w:rsid w:val="00055498"/>
    <w:rsid w:val="00055CF3"/>
    <w:rsid w:val="00056A39"/>
    <w:rsid w:val="00060DF3"/>
    <w:rsid w:val="00061389"/>
    <w:rsid w:val="00062AD0"/>
    <w:rsid w:val="000657DF"/>
    <w:rsid w:val="00065F2C"/>
    <w:rsid w:val="00067624"/>
    <w:rsid w:val="000718E9"/>
    <w:rsid w:val="00074822"/>
    <w:rsid w:val="000748CD"/>
    <w:rsid w:val="000778BA"/>
    <w:rsid w:val="00077B28"/>
    <w:rsid w:val="00080374"/>
    <w:rsid w:val="00082E71"/>
    <w:rsid w:val="00083D68"/>
    <w:rsid w:val="000844A5"/>
    <w:rsid w:val="000853FB"/>
    <w:rsid w:val="00086C06"/>
    <w:rsid w:val="00091B0F"/>
    <w:rsid w:val="000922EF"/>
    <w:rsid w:val="000936B8"/>
    <w:rsid w:val="00094153"/>
    <w:rsid w:val="00094236"/>
    <w:rsid w:val="0009595A"/>
    <w:rsid w:val="000A302F"/>
    <w:rsid w:val="000A382B"/>
    <w:rsid w:val="000A43D1"/>
    <w:rsid w:val="000B1785"/>
    <w:rsid w:val="000B347F"/>
    <w:rsid w:val="000B38EF"/>
    <w:rsid w:val="000B592B"/>
    <w:rsid w:val="000B79C1"/>
    <w:rsid w:val="000C18C8"/>
    <w:rsid w:val="000C2792"/>
    <w:rsid w:val="000C54CB"/>
    <w:rsid w:val="000D06AF"/>
    <w:rsid w:val="000D1032"/>
    <w:rsid w:val="000D749A"/>
    <w:rsid w:val="000E167F"/>
    <w:rsid w:val="000E1EB5"/>
    <w:rsid w:val="000E34CB"/>
    <w:rsid w:val="000E47B0"/>
    <w:rsid w:val="000E639A"/>
    <w:rsid w:val="000F087F"/>
    <w:rsid w:val="000F54E8"/>
    <w:rsid w:val="000F55F0"/>
    <w:rsid w:val="000F76CF"/>
    <w:rsid w:val="001033A6"/>
    <w:rsid w:val="00104072"/>
    <w:rsid w:val="00104E0D"/>
    <w:rsid w:val="00104F03"/>
    <w:rsid w:val="001056F3"/>
    <w:rsid w:val="00105D73"/>
    <w:rsid w:val="00106741"/>
    <w:rsid w:val="00107464"/>
    <w:rsid w:val="001102AF"/>
    <w:rsid w:val="00113137"/>
    <w:rsid w:val="001144E0"/>
    <w:rsid w:val="001159D9"/>
    <w:rsid w:val="00117E01"/>
    <w:rsid w:val="00120360"/>
    <w:rsid w:val="0012062B"/>
    <w:rsid w:val="00120819"/>
    <w:rsid w:val="00120941"/>
    <w:rsid w:val="00120F39"/>
    <w:rsid w:val="001213A8"/>
    <w:rsid w:val="0012692B"/>
    <w:rsid w:val="00130323"/>
    <w:rsid w:val="00132F48"/>
    <w:rsid w:val="0013353E"/>
    <w:rsid w:val="001337B9"/>
    <w:rsid w:val="00134430"/>
    <w:rsid w:val="00135193"/>
    <w:rsid w:val="0014148F"/>
    <w:rsid w:val="00146034"/>
    <w:rsid w:val="0014741D"/>
    <w:rsid w:val="00150410"/>
    <w:rsid w:val="001510F7"/>
    <w:rsid w:val="00154C4F"/>
    <w:rsid w:val="001557C1"/>
    <w:rsid w:val="00155E95"/>
    <w:rsid w:val="00157807"/>
    <w:rsid w:val="001604BE"/>
    <w:rsid w:val="001611DB"/>
    <w:rsid w:val="0016564A"/>
    <w:rsid w:val="00166A1F"/>
    <w:rsid w:val="00167E33"/>
    <w:rsid w:val="00170794"/>
    <w:rsid w:val="0017532B"/>
    <w:rsid w:val="00177004"/>
    <w:rsid w:val="001773E8"/>
    <w:rsid w:val="0017783E"/>
    <w:rsid w:val="00177EA6"/>
    <w:rsid w:val="001800F2"/>
    <w:rsid w:val="00180BE6"/>
    <w:rsid w:val="00181D8B"/>
    <w:rsid w:val="00182272"/>
    <w:rsid w:val="001829BB"/>
    <w:rsid w:val="0018498F"/>
    <w:rsid w:val="0018554F"/>
    <w:rsid w:val="00185772"/>
    <w:rsid w:val="001907AA"/>
    <w:rsid w:val="00193F1F"/>
    <w:rsid w:val="00195260"/>
    <w:rsid w:val="00195AE7"/>
    <w:rsid w:val="00195FA0"/>
    <w:rsid w:val="00196037"/>
    <w:rsid w:val="00196ADE"/>
    <w:rsid w:val="00196FDA"/>
    <w:rsid w:val="001A47A0"/>
    <w:rsid w:val="001A6848"/>
    <w:rsid w:val="001A6FBF"/>
    <w:rsid w:val="001A7066"/>
    <w:rsid w:val="001B05D9"/>
    <w:rsid w:val="001B11DC"/>
    <w:rsid w:val="001B512C"/>
    <w:rsid w:val="001B5772"/>
    <w:rsid w:val="001B72BD"/>
    <w:rsid w:val="001C16C1"/>
    <w:rsid w:val="001C25FE"/>
    <w:rsid w:val="001C49EB"/>
    <w:rsid w:val="001C4A1F"/>
    <w:rsid w:val="001C5096"/>
    <w:rsid w:val="001C5369"/>
    <w:rsid w:val="001C6E5C"/>
    <w:rsid w:val="001D426F"/>
    <w:rsid w:val="001D6004"/>
    <w:rsid w:val="001D79C0"/>
    <w:rsid w:val="001E1B37"/>
    <w:rsid w:val="001E30AF"/>
    <w:rsid w:val="001E3180"/>
    <w:rsid w:val="001E47A8"/>
    <w:rsid w:val="001E4C3C"/>
    <w:rsid w:val="001E5851"/>
    <w:rsid w:val="001E5D14"/>
    <w:rsid w:val="001F0808"/>
    <w:rsid w:val="001F17F3"/>
    <w:rsid w:val="001F42EE"/>
    <w:rsid w:val="001F437A"/>
    <w:rsid w:val="001F59D1"/>
    <w:rsid w:val="001F6BB5"/>
    <w:rsid w:val="001F7221"/>
    <w:rsid w:val="00205C16"/>
    <w:rsid w:val="002061EC"/>
    <w:rsid w:val="00210327"/>
    <w:rsid w:val="00210B3F"/>
    <w:rsid w:val="00211B50"/>
    <w:rsid w:val="0021207C"/>
    <w:rsid w:val="00212690"/>
    <w:rsid w:val="00214384"/>
    <w:rsid w:val="00215246"/>
    <w:rsid w:val="002157A0"/>
    <w:rsid w:val="0021682B"/>
    <w:rsid w:val="0022368D"/>
    <w:rsid w:val="00224712"/>
    <w:rsid w:val="002257C4"/>
    <w:rsid w:val="0023084C"/>
    <w:rsid w:val="00230941"/>
    <w:rsid w:val="002335B0"/>
    <w:rsid w:val="002345D8"/>
    <w:rsid w:val="0023547F"/>
    <w:rsid w:val="0024071F"/>
    <w:rsid w:val="00244ED3"/>
    <w:rsid w:val="00251C1B"/>
    <w:rsid w:val="00251EED"/>
    <w:rsid w:val="00252E3F"/>
    <w:rsid w:val="00253A45"/>
    <w:rsid w:val="00254495"/>
    <w:rsid w:val="0025711F"/>
    <w:rsid w:val="002574BA"/>
    <w:rsid w:val="00257E59"/>
    <w:rsid w:val="00260B67"/>
    <w:rsid w:val="00261273"/>
    <w:rsid w:val="0026367F"/>
    <w:rsid w:val="0026486E"/>
    <w:rsid w:val="00265566"/>
    <w:rsid w:val="00265D5A"/>
    <w:rsid w:val="002706F6"/>
    <w:rsid w:val="002713B9"/>
    <w:rsid w:val="00277068"/>
    <w:rsid w:val="00280059"/>
    <w:rsid w:val="002802FB"/>
    <w:rsid w:val="00280FDF"/>
    <w:rsid w:val="00284131"/>
    <w:rsid w:val="00285109"/>
    <w:rsid w:val="00290AB9"/>
    <w:rsid w:val="002966E4"/>
    <w:rsid w:val="002A18E7"/>
    <w:rsid w:val="002A334A"/>
    <w:rsid w:val="002A341A"/>
    <w:rsid w:val="002A47F3"/>
    <w:rsid w:val="002A66B1"/>
    <w:rsid w:val="002A7439"/>
    <w:rsid w:val="002A7BDC"/>
    <w:rsid w:val="002B0AE8"/>
    <w:rsid w:val="002B0CF2"/>
    <w:rsid w:val="002B2F6D"/>
    <w:rsid w:val="002B32C1"/>
    <w:rsid w:val="002B3536"/>
    <w:rsid w:val="002B3DF6"/>
    <w:rsid w:val="002B41E3"/>
    <w:rsid w:val="002B4507"/>
    <w:rsid w:val="002B5958"/>
    <w:rsid w:val="002B5DCA"/>
    <w:rsid w:val="002B6540"/>
    <w:rsid w:val="002C03C3"/>
    <w:rsid w:val="002C0838"/>
    <w:rsid w:val="002C18AC"/>
    <w:rsid w:val="002C2A85"/>
    <w:rsid w:val="002C39FC"/>
    <w:rsid w:val="002C425D"/>
    <w:rsid w:val="002C4B91"/>
    <w:rsid w:val="002C7A2D"/>
    <w:rsid w:val="002D0920"/>
    <w:rsid w:val="002D09C9"/>
    <w:rsid w:val="002D30FE"/>
    <w:rsid w:val="002D5F89"/>
    <w:rsid w:val="002D6D3B"/>
    <w:rsid w:val="002D7FAA"/>
    <w:rsid w:val="002E0853"/>
    <w:rsid w:val="002E1706"/>
    <w:rsid w:val="002E2001"/>
    <w:rsid w:val="002E50DC"/>
    <w:rsid w:val="002F20D7"/>
    <w:rsid w:val="002F295B"/>
    <w:rsid w:val="002F5D14"/>
    <w:rsid w:val="002F6347"/>
    <w:rsid w:val="002F64A5"/>
    <w:rsid w:val="002F78F8"/>
    <w:rsid w:val="002F79F7"/>
    <w:rsid w:val="00302073"/>
    <w:rsid w:val="00302707"/>
    <w:rsid w:val="003056F6"/>
    <w:rsid w:val="00312ADD"/>
    <w:rsid w:val="00314139"/>
    <w:rsid w:val="00314184"/>
    <w:rsid w:val="003210E8"/>
    <w:rsid w:val="00321462"/>
    <w:rsid w:val="00321F69"/>
    <w:rsid w:val="00323BD8"/>
    <w:rsid w:val="00326117"/>
    <w:rsid w:val="00327BB7"/>
    <w:rsid w:val="00330AF8"/>
    <w:rsid w:val="00331C96"/>
    <w:rsid w:val="0033237B"/>
    <w:rsid w:val="0033285C"/>
    <w:rsid w:val="00332F7A"/>
    <w:rsid w:val="00333281"/>
    <w:rsid w:val="00333A83"/>
    <w:rsid w:val="00333BFC"/>
    <w:rsid w:val="00335714"/>
    <w:rsid w:val="00336176"/>
    <w:rsid w:val="00336DCE"/>
    <w:rsid w:val="00337DA2"/>
    <w:rsid w:val="0034105B"/>
    <w:rsid w:val="00343937"/>
    <w:rsid w:val="00345AD3"/>
    <w:rsid w:val="003514A5"/>
    <w:rsid w:val="00351B49"/>
    <w:rsid w:val="00354057"/>
    <w:rsid w:val="00354D1A"/>
    <w:rsid w:val="00355046"/>
    <w:rsid w:val="0035566B"/>
    <w:rsid w:val="003606CA"/>
    <w:rsid w:val="00360CB4"/>
    <w:rsid w:val="00360EE1"/>
    <w:rsid w:val="00361EBD"/>
    <w:rsid w:val="00364FB9"/>
    <w:rsid w:val="00365EE9"/>
    <w:rsid w:val="00366290"/>
    <w:rsid w:val="00366997"/>
    <w:rsid w:val="003704FF"/>
    <w:rsid w:val="00370874"/>
    <w:rsid w:val="00371896"/>
    <w:rsid w:val="00373572"/>
    <w:rsid w:val="0037384A"/>
    <w:rsid w:val="00374DD7"/>
    <w:rsid w:val="00375B99"/>
    <w:rsid w:val="00376FFA"/>
    <w:rsid w:val="00377B25"/>
    <w:rsid w:val="00382CAA"/>
    <w:rsid w:val="003845DA"/>
    <w:rsid w:val="00384AB3"/>
    <w:rsid w:val="00385052"/>
    <w:rsid w:val="00387131"/>
    <w:rsid w:val="00387C93"/>
    <w:rsid w:val="00387F36"/>
    <w:rsid w:val="00391905"/>
    <w:rsid w:val="003920EF"/>
    <w:rsid w:val="00393948"/>
    <w:rsid w:val="00393C09"/>
    <w:rsid w:val="00397EDC"/>
    <w:rsid w:val="003A4BE9"/>
    <w:rsid w:val="003A4FF4"/>
    <w:rsid w:val="003A663D"/>
    <w:rsid w:val="003B20C1"/>
    <w:rsid w:val="003B67F8"/>
    <w:rsid w:val="003B6DD7"/>
    <w:rsid w:val="003C0C04"/>
    <w:rsid w:val="003C12DE"/>
    <w:rsid w:val="003C503D"/>
    <w:rsid w:val="003C6762"/>
    <w:rsid w:val="003C7AE6"/>
    <w:rsid w:val="003C7C98"/>
    <w:rsid w:val="003D1DD6"/>
    <w:rsid w:val="003D40D5"/>
    <w:rsid w:val="003D41B3"/>
    <w:rsid w:val="003D4C7F"/>
    <w:rsid w:val="003E1CF8"/>
    <w:rsid w:val="003E3D41"/>
    <w:rsid w:val="003E79A0"/>
    <w:rsid w:val="003E7ABD"/>
    <w:rsid w:val="003F1649"/>
    <w:rsid w:val="003F2796"/>
    <w:rsid w:val="003F5272"/>
    <w:rsid w:val="00403915"/>
    <w:rsid w:val="004046F5"/>
    <w:rsid w:val="00406157"/>
    <w:rsid w:val="004114B7"/>
    <w:rsid w:val="00412A87"/>
    <w:rsid w:val="00414A95"/>
    <w:rsid w:val="00416A3D"/>
    <w:rsid w:val="00417C83"/>
    <w:rsid w:val="00422A9F"/>
    <w:rsid w:val="00425535"/>
    <w:rsid w:val="004279C0"/>
    <w:rsid w:val="00427DF8"/>
    <w:rsid w:val="00430815"/>
    <w:rsid w:val="0043105F"/>
    <w:rsid w:val="00431786"/>
    <w:rsid w:val="00431A6D"/>
    <w:rsid w:val="00431AAE"/>
    <w:rsid w:val="00432AAA"/>
    <w:rsid w:val="004356A7"/>
    <w:rsid w:val="004361D4"/>
    <w:rsid w:val="00437128"/>
    <w:rsid w:val="00440E35"/>
    <w:rsid w:val="00440F4C"/>
    <w:rsid w:val="00443D5F"/>
    <w:rsid w:val="00443DD0"/>
    <w:rsid w:val="00444C73"/>
    <w:rsid w:val="0046098E"/>
    <w:rsid w:val="004609CC"/>
    <w:rsid w:val="00460A4F"/>
    <w:rsid w:val="004614DA"/>
    <w:rsid w:val="00463D3C"/>
    <w:rsid w:val="00464225"/>
    <w:rsid w:val="004654B5"/>
    <w:rsid w:val="004679C5"/>
    <w:rsid w:val="0047182A"/>
    <w:rsid w:val="00474FBF"/>
    <w:rsid w:val="00475A2C"/>
    <w:rsid w:val="0048101C"/>
    <w:rsid w:val="004810BF"/>
    <w:rsid w:val="004812D1"/>
    <w:rsid w:val="00481307"/>
    <w:rsid w:val="0048294E"/>
    <w:rsid w:val="00483348"/>
    <w:rsid w:val="00485FF6"/>
    <w:rsid w:val="00487032"/>
    <w:rsid w:val="00487604"/>
    <w:rsid w:val="00493288"/>
    <w:rsid w:val="004949E1"/>
    <w:rsid w:val="00496631"/>
    <w:rsid w:val="004A1B05"/>
    <w:rsid w:val="004A2B94"/>
    <w:rsid w:val="004A3DB6"/>
    <w:rsid w:val="004A6A6B"/>
    <w:rsid w:val="004B1C4F"/>
    <w:rsid w:val="004B45A5"/>
    <w:rsid w:val="004B5784"/>
    <w:rsid w:val="004B6187"/>
    <w:rsid w:val="004B69C9"/>
    <w:rsid w:val="004B7FD2"/>
    <w:rsid w:val="004D00EE"/>
    <w:rsid w:val="004D0E0A"/>
    <w:rsid w:val="004D2AF7"/>
    <w:rsid w:val="004D3800"/>
    <w:rsid w:val="004D39BF"/>
    <w:rsid w:val="004D6151"/>
    <w:rsid w:val="004D7644"/>
    <w:rsid w:val="004E2F08"/>
    <w:rsid w:val="004E6043"/>
    <w:rsid w:val="004E6131"/>
    <w:rsid w:val="004E67BF"/>
    <w:rsid w:val="004E7902"/>
    <w:rsid w:val="004F013D"/>
    <w:rsid w:val="004F470E"/>
    <w:rsid w:val="004F4D04"/>
    <w:rsid w:val="004F6E14"/>
    <w:rsid w:val="005000B5"/>
    <w:rsid w:val="0050270B"/>
    <w:rsid w:val="0050343D"/>
    <w:rsid w:val="00507269"/>
    <w:rsid w:val="005103CC"/>
    <w:rsid w:val="00510E31"/>
    <w:rsid w:val="005128B2"/>
    <w:rsid w:val="00514A57"/>
    <w:rsid w:val="00517127"/>
    <w:rsid w:val="005173CA"/>
    <w:rsid w:val="0052161F"/>
    <w:rsid w:val="00521E01"/>
    <w:rsid w:val="00522777"/>
    <w:rsid w:val="00522B49"/>
    <w:rsid w:val="00522E59"/>
    <w:rsid w:val="005231B5"/>
    <w:rsid w:val="00524825"/>
    <w:rsid w:val="005250DE"/>
    <w:rsid w:val="00525767"/>
    <w:rsid w:val="0052776C"/>
    <w:rsid w:val="005277E5"/>
    <w:rsid w:val="00530202"/>
    <w:rsid w:val="00531741"/>
    <w:rsid w:val="0053455D"/>
    <w:rsid w:val="00534DAD"/>
    <w:rsid w:val="00535A6A"/>
    <w:rsid w:val="00537068"/>
    <w:rsid w:val="00537D45"/>
    <w:rsid w:val="00541214"/>
    <w:rsid w:val="00542EF8"/>
    <w:rsid w:val="00545263"/>
    <w:rsid w:val="00546502"/>
    <w:rsid w:val="00550BE4"/>
    <w:rsid w:val="0055233E"/>
    <w:rsid w:val="005554F7"/>
    <w:rsid w:val="00556692"/>
    <w:rsid w:val="00557066"/>
    <w:rsid w:val="00561E7B"/>
    <w:rsid w:val="005622F0"/>
    <w:rsid w:val="00564072"/>
    <w:rsid w:val="00564A33"/>
    <w:rsid w:val="005658DE"/>
    <w:rsid w:val="005707B6"/>
    <w:rsid w:val="0057113C"/>
    <w:rsid w:val="00571159"/>
    <w:rsid w:val="00573031"/>
    <w:rsid w:val="00574B40"/>
    <w:rsid w:val="00574FF2"/>
    <w:rsid w:val="0057617B"/>
    <w:rsid w:val="00576966"/>
    <w:rsid w:val="00576C1C"/>
    <w:rsid w:val="00576FCC"/>
    <w:rsid w:val="00581DE0"/>
    <w:rsid w:val="00582ED0"/>
    <w:rsid w:val="005875B4"/>
    <w:rsid w:val="00590AAC"/>
    <w:rsid w:val="0059181D"/>
    <w:rsid w:val="0059483E"/>
    <w:rsid w:val="00595433"/>
    <w:rsid w:val="005A1040"/>
    <w:rsid w:val="005A11A1"/>
    <w:rsid w:val="005A2BD7"/>
    <w:rsid w:val="005A6F93"/>
    <w:rsid w:val="005A7899"/>
    <w:rsid w:val="005B00CC"/>
    <w:rsid w:val="005B3543"/>
    <w:rsid w:val="005B4780"/>
    <w:rsid w:val="005B4C6A"/>
    <w:rsid w:val="005B5F67"/>
    <w:rsid w:val="005C139D"/>
    <w:rsid w:val="005C1499"/>
    <w:rsid w:val="005C1E2D"/>
    <w:rsid w:val="005C4D2F"/>
    <w:rsid w:val="005C58AD"/>
    <w:rsid w:val="005C62EB"/>
    <w:rsid w:val="005D249E"/>
    <w:rsid w:val="005D3A91"/>
    <w:rsid w:val="005D6195"/>
    <w:rsid w:val="005D6C6A"/>
    <w:rsid w:val="005D7ADE"/>
    <w:rsid w:val="005E0C85"/>
    <w:rsid w:val="005E14F7"/>
    <w:rsid w:val="005E6751"/>
    <w:rsid w:val="005F0806"/>
    <w:rsid w:val="005F1801"/>
    <w:rsid w:val="005F28F3"/>
    <w:rsid w:val="005F3453"/>
    <w:rsid w:val="005F3740"/>
    <w:rsid w:val="005F3928"/>
    <w:rsid w:val="005F39ED"/>
    <w:rsid w:val="005F5790"/>
    <w:rsid w:val="005F6E44"/>
    <w:rsid w:val="0060045A"/>
    <w:rsid w:val="00600B60"/>
    <w:rsid w:val="00602008"/>
    <w:rsid w:val="006057D7"/>
    <w:rsid w:val="00605B97"/>
    <w:rsid w:val="006061E2"/>
    <w:rsid w:val="0060743B"/>
    <w:rsid w:val="00607CB5"/>
    <w:rsid w:val="00614AAA"/>
    <w:rsid w:val="00614F43"/>
    <w:rsid w:val="00617101"/>
    <w:rsid w:val="0061761C"/>
    <w:rsid w:val="00617857"/>
    <w:rsid w:val="006208B2"/>
    <w:rsid w:val="006210E9"/>
    <w:rsid w:val="0062230C"/>
    <w:rsid w:val="00624840"/>
    <w:rsid w:val="00624876"/>
    <w:rsid w:val="00624A31"/>
    <w:rsid w:val="00625979"/>
    <w:rsid w:val="00625D6E"/>
    <w:rsid w:val="00625E28"/>
    <w:rsid w:val="00626C54"/>
    <w:rsid w:val="0063091D"/>
    <w:rsid w:val="00631462"/>
    <w:rsid w:val="006314A5"/>
    <w:rsid w:val="006318CD"/>
    <w:rsid w:val="00632F26"/>
    <w:rsid w:val="006352CA"/>
    <w:rsid w:val="00636574"/>
    <w:rsid w:val="0064031D"/>
    <w:rsid w:val="00640971"/>
    <w:rsid w:val="00642429"/>
    <w:rsid w:val="00642C7E"/>
    <w:rsid w:val="00643A2C"/>
    <w:rsid w:val="0064715A"/>
    <w:rsid w:val="006503EB"/>
    <w:rsid w:val="006505D4"/>
    <w:rsid w:val="00652331"/>
    <w:rsid w:val="00653270"/>
    <w:rsid w:val="00657AE2"/>
    <w:rsid w:val="006601DE"/>
    <w:rsid w:val="006609F4"/>
    <w:rsid w:val="00660A8F"/>
    <w:rsid w:val="006642E2"/>
    <w:rsid w:val="006661B5"/>
    <w:rsid w:val="00670DB8"/>
    <w:rsid w:val="00671172"/>
    <w:rsid w:val="00672C14"/>
    <w:rsid w:val="0067368E"/>
    <w:rsid w:val="006738D7"/>
    <w:rsid w:val="00673BE9"/>
    <w:rsid w:val="00675EAB"/>
    <w:rsid w:val="0068022D"/>
    <w:rsid w:val="00682302"/>
    <w:rsid w:val="0068338D"/>
    <w:rsid w:val="0068347A"/>
    <w:rsid w:val="0068450C"/>
    <w:rsid w:val="00684CB2"/>
    <w:rsid w:val="00691494"/>
    <w:rsid w:val="0069444B"/>
    <w:rsid w:val="00695831"/>
    <w:rsid w:val="0069792C"/>
    <w:rsid w:val="006A2832"/>
    <w:rsid w:val="006A4162"/>
    <w:rsid w:val="006A41DF"/>
    <w:rsid w:val="006A5DC8"/>
    <w:rsid w:val="006A6327"/>
    <w:rsid w:val="006A667B"/>
    <w:rsid w:val="006A66E3"/>
    <w:rsid w:val="006A7D86"/>
    <w:rsid w:val="006B13E8"/>
    <w:rsid w:val="006C09D2"/>
    <w:rsid w:val="006C1A97"/>
    <w:rsid w:val="006C37C6"/>
    <w:rsid w:val="006C68B1"/>
    <w:rsid w:val="006D1803"/>
    <w:rsid w:val="006D1B1A"/>
    <w:rsid w:val="006D2C5D"/>
    <w:rsid w:val="006D4947"/>
    <w:rsid w:val="006D5BF8"/>
    <w:rsid w:val="006D7174"/>
    <w:rsid w:val="006E2E36"/>
    <w:rsid w:val="006E3636"/>
    <w:rsid w:val="006E3821"/>
    <w:rsid w:val="006E4290"/>
    <w:rsid w:val="006E4BDE"/>
    <w:rsid w:val="006E7EF0"/>
    <w:rsid w:val="006E7F51"/>
    <w:rsid w:val="006E7FCA"/>
    <w:rsid w:val="006F0DCD"/>
    <w:rsid w:val="006F11C2"/>
    <w:rsid w:val="00702EDB"/>
    <w:rsid w:val="0070355A"/>
    <w:rsid w:val="00706F72"/>
    <w:rsid w:val="0071010B"/>
    <w:rsid w:val="00711472"/>
    <w:rsid w:val="00715922"/>
    <w:rsid w:val="00716635"/>
    <w:rsid w:val="007204AC"/>
    <w:rsid w:val="007235A9"/>
    <w:rsid w:val="00723A95"/>
    <w:rsid w:val="007252D0"/>
    <w:rsid w:val="00726230"/>
    <w:rsid w:val="007274D7"/>
    <w:rsid w:val="00727EFB"/>
    <w:rsid w:val="00730AE2"/>
    <w:rsid w:val="00731870"/>
    <w:rsid w:val="007319BD"/>
    <w:rsid w:val="0073407B"/>
    <w:rsid w:val="00737217"/>
    <w:rsid w:val="00740615"/>
    <w:rsid w:val="00742483"/>
    <w:rsid w:val="007434B7"/>
    <w:rsid w:val="00743B2E"/>
    <w:rsid w:val="007453A8"/>
    <w:rsid w:val="0074564D"/>
    <w:rsid w:val="0074597C"/>
    <w:rsid w:val="00746972"/>
    <w:rsid w:val="00747E86"/>
    <w:rsid w:val="0075111D"/>
    <w:rsid w:val="007515EA"/>
    <w:rsid w:val="00752DE5"/>
    <w:rsid w:val="007533C7"/>
    <w:rsid w:val="00753448"/>
    <w:rsid w:val="00753DC9"/>
    <w:rsid w:val="00754F0F"/>
    <w:rsid w:val="00755935"/>
    <w:rsid w:val="007579D4"/>
    <w:rsid w:val="00760339"/>
    <w:rsid w:val="00761463"/>
    <w:rsid w:val="00763355"/>
    <w:rsid w:val="00766C7C"/>
    <w:rsid w:val="00767B1E"/>
    <w:rsid w:val="007731E3"/>
    <w:rsid w:val="00774A46"/>
    <w:rsid w:val="0077506A"/>
    <w:rsid w:val="00781122"/>
    <w:rsid w:val="00781BAC"/>
    <w:rsid w:val="00785A02"/>
    <w:rsid w:val="007904E7"/>
    <w:rsid w:val="0079199F"/>
    <w:rsid w:val="007936C0"/>
    <w:rsid w:val="007953DE"/>
    <w:rsid w:val="00796DD8"/>
    <w:rsid w:val="007A6589"/>
    <w:rsid w:val="007A7AF3"/>
    <w:rsid w:val="007A7E96"/>
    <w:rsid w:val="007B0007"/>
    <w:rsid w:val="007B1CBB"/>
    <w:rsid w:val="007B4182"/>
    <w:rsid w:val="007B5B55"/>
    <w:rsid w:val="007B61D8"/>
    <w:rsid w:val="007C1592"/>
    <w:rsid w:val="007D338D"/>
    <w:rsid w:val="007D69C3"/>
    <w:rsid w:val="007E18BD"/>
    <w:rsid w:val="007E3AD0"/>
    <w:rsid w:val="007E483F"/>
    <w:rsid w:val="007E49A0"/>
    <w:rsid w:val="007E5344"/>
    <w:rsid w:val="007E5393"/>
    <w:rsid w:val="007E6072"/>
    <w:rsid w:val="007E62C4"/>
    <w:rsid w:val="007E6FBE"/>
    <w:rsid w:val="007F37DF"/>
    <w:rsid w:val="007F7F6C"/>
    <w:rsid w:val="00800BD2"/>
    <w:rsid w:val="0080298D"/>
    <w:rsid w:val="00804050"/>
    <w:rsid w:val="0080684A"/>
    <w:rsid w:val="00807B76"/>
    <w:rsid w:val="008101CF"/>
    <w:rsid w:val="00812477"/>
    <w:rsid w:val="00812832"/>
    <w:rsid w:val="008158B9"/>
    <w:rsid w:val="00817198"/>
    <w:rsid w:val="008176BE"/>
    <w:rsid w:val="00817F07"/>
    <w:rsid w:val="00821157"/>
    <w:rsid w:val="00822878"/>
    <w:rsid w:val="0082513D"/>
    <w:rsid w:val="00831C8D"/>
    <w:rsid w:val="00836407"/>
    <w:rsid w:val="00837123"/>
    <w:rsid w:val="008447DA"/>
    <w:rsid w:val="00845CC5"/>
    <w:rsid w:val="008464CC"/>
    <w:rsid w:val="008467A2"/>
    <w:rsid w:val="00847A2A"/>
    <w:rsid w:val="008512F8"/>
    <w:rsid w:val="00851CA4"/>
    <w:rsid w:val="0085601E"/>
    <w:rsid w:val="00857FB9"/>
    <w:rsid w:val="0086043A"/>
    <w:rsid w:val="00860C6C"/>
    <w:rsid w:val="008611B2"/>
    <w:rsid w:val="0086173D"/>
    <w:rsid w:val="00861D17"/>
    <w:rsid w:val="00861F96"/>
    <w:rsid w:val="008627A7"/>
    <w:rsid w:val="00863ED1"/>
    <w:rsid w:val="00864627"/>
    <w:rsid w:val="008662FC"/>
    <w:rsid w:val="00866E53"/>
    <w:rsid w:val="008709F0"/>
    <w:rsid w:val="0087143C"/>
    <w:rsid w:val="00873265"/>
    <w:rsid w:val="00875936"/>
    <w:rsid w:val="008768B3"/>
    <w:rsid w:val="008801BF"/>
    <w:rsid w:val="00884E95"/>
    <w:rsid w:val="00886C91"/>
    <w:rsid w:val="00890B7B"/>
    <w:rsid w:val="00895CAB"/>
    <w:rsid w:val="00895D9D"/>
    <w:rsid w:val="00896039"/>
    <w:rsid w:val="008962EF"/>
    <w:rsid w:val="008966A5"/>
    <w:rsid w:val="008A0D8A"/>
    <w:rsid w:val="008A1FE3"/>
    <w:rsid w:val="008A768A"/>
    <w:rsid w:val="008A76BC"/>
    <w:rsid w:val="008A7B88"/>
    <w:rsid w:val="008B266D"/>
    <w:rsid w:val="008B3BEA"/>
    <w:rsid w:val="008B4434"/>
    <w:rsid w:val="008B5AF6"/>
    <w:rsid w:val="008B6A4B"/>
    <w:rsid w:val="008B7DCC"/>
    <w:rsid w:val="008C1CBD"/>
    <w:rsid w:val="008C3124"/>
    <w:rsid w:val="008C3160"/>
    <w:rsid w:val="008C364C"/>
    <w:rsid w:val="008C3CE6"/>
    <w:rsid w:val="008C4430"/>
    <w:rsid w:val="008D0150"/>
    <w:rsid w:val="008D2248"/>
    <w:rsid w:val="008D25FC"/>
    <w:rsid w:val="008D33A1"/>
    <w:rsid w:val="008D4779"/>
    <w:rsid w:val="008D64D3"/>
    <w:rsid w:val="008D6CB5"/>
    <w:rsid w:val="008D7F0F"/>
    <w:rsid w:val="008E5692"/>
    <w:rsid w:val="008E5928"/>
    <w:rsid w:val="008E5A08"/>
    <w:rsid w:val="008F2163"/>
    <w:rsid w:val="008F2FCF"/>
    <w:rsid w:val="008F49A5"/>
    <w:rsid w:val="008F655D"/>
    <w:rsid w:val="008F728E"/>
    <w:rsid w:val="00900AFB"/>
    <w:rsid w:val="00901A8C"/>
    <w:rsid w:val="00902164"/>
    <w:rsid w:val="00902272"/>
    <w:rsid w:val="009045E8"/>
    <w:rsid w:val="00907A0D"/>
    <w:rsid w:val="009112B8"/>
    <w:rsid w:val="009119F8"/>
    <w:rsid w:val="009137D9"/>
    <w:rsid w:val="0091581C"/>
    <w:rsid w:val="00917301"/>
    <w:rsid w:val="009176C5"/>
    <w:rsid w:val="00924E2C"/>
    <w:rsid w:val="00926518"/>
    <w:rsid w:val="00933F3D"/>
    <w:rsid w:val="0093626D"/>
    <w:rsid w:val="009367D4"/>
    <w:rsid w:val="009367DD"/>
    <w:rsid w:val="00941AEE"/>
    <w:rsid w:val="00942486"/>
    <w:rsid w:val="00942FA1"/>
    <w:rsid w:val="009438CB"/>
    <w:rsid w:val="009439DD"/>
    <w:rsid w:val="009464C2"/>
    <w:rsid w:val="00946D98"/>
    <w:rsid w:val="00950F8C"/>
    <w:rsid w:val="00957D36"/>
    <w:rsid w:val="00962706"/>
    <w:rsid w:val="00962DC3"/>
    <w:rsid w:val="0096681C"/>
    <w:rsid w:val="0096776F"/>
    <w:rsid w:val="009677CE"/>
    <w:rsid w:val="009705C4"/>
    <w:rsid w:val="00972BAA"/>
    <w:rsid w:val="009754B7"/>
    <w:rsid w:val="00976C11"/>
    <w:rsid w:val="0097736F"/>
    <w:rsid w:val="009805DC"/>
    <w:rsid w:val="00981015"/>
    <w:rsid w:val="009813BD"/>
    <w:rsid w:val="0098194D"/>
    <w:rsid w:val="0098417A"/>
    <w:rsid w:val="00984E86"/>
    <w:rsid w:val="00986317"/>
    <w:rsid w:val="009877C8"/>
    <w:rsid w:val="00990559"/>
    <w:rsid w:val="00990E4E"/>
    <w:rsid w:val="00990F32"/>
    <w:rsid w:val="0099341C"/>
    <w:rsid w:val="009955BA"/>
    <w:rsid w:val="00995FBC"/>
    <w:rsid w:val="00997C22"/>
    <w:rsid w:val="009A09DD"/>
    <w:rsid w:val="009A1413"/>
    <w:rsid w:val="009A250B"/>
    <w:rsid w:val="009A3A78"/>
    <w:rsid w:val="009A4DAD"/>
    <w:rsid w:val="009A670E"/>
    <w:rsid w:val="009A7B66"/>
    <w:rsid w:val="009B1AEE"/>
    <w:rsid w:val="009B3271"/>
    <w:rsid w:val="009B420B"/>
    <w:rsid w:val="009B4ABD"/>
    <w:rsid w:val="009B4B2A"/>
    <w:rsid w:val="009B5E82"/>
    <w:rsid w:val="009B71ED"/>
    <w:rsid w:val="009C1FC1"/>
    <w:rsid w:val="009C4876"/>
    <w:rsid w:val="009C5ECA"/>
    <w:rsid w:val="009C6610"/>
    <w:rsid w:val="009C671D"/>
    <w:rsid w:val="009C67F8"/>
    <w:rsid w:val="009D20AC"/>
    <w:rsid w:val="009D3DA5"/>
    <w:rsid w:val="009D5AF8"/>
    <w:rsid w:val="009D5CC1"/>
    <w:rsid w:val="009E0DAB"/>
    <w:rsid w:val="009E320A"/>
    <w:rsid w:val="009E3B3A"/>
    <w:rsid w:val="009E3D47"/>
    <w:rsid w:val="009E6464"/>
    <w:rsid w:val="009E7CC7"/>
    <w:rsid w:val="009F10D2"/>
    <w:rsid w:val="009F4097"/>
    <w:rsid w:val="009F4466"/>
    <w:rsid w:val="009F548E"/>
    <w:rsid w:val="009F582E"/>
    <w:rsid w:val="00A00E36"/>
    <w:rsid w:val="00A02038"/>
    <w:rsid w:val="00A04A31"/>
    <w:rsid w:val="00A05397"/>
    <w:rsid w:val="00A05DFD"/>
    <w:rsid w:val="00A109AC"/>
    <w:rsid w:val="00A112A0"/>
    <w:rsid w:val="00A11565"/>
    <w:rsid w:val="00A1309D"/>
    <w:rsid w:val="00A14E2B"/>
    <w:rsid w:val="00A15EBA"/>
    <w:rsid w:val="00A1624B"/>
    <w:rsid w:val="00A17B80"/>
    <w:rsid w:val="00A21577"/>
    <w:rsid w:val="00A2252B"/>
    <w:rsid w:val="00A23686"/>
    <w:rsid w:val="00A23BF7"/>
    <w:rsid w:val="00A24644"/>
    <w:rsid w:val="00A25AEE"/>
    <w:rsid w:val="00A300DC"/>
    <w:rsid w:val="00A31F9A"/>
    <w:rsid w:val="00A3417D"/>
    <w:rsid w:val="00A342BA"/>
    <w:rsid w:val="00A35516"/>
    <w:rsid w:val="00A35579"/>
    <w:rsid w:val="00A368CE"/>
    <w:rsid w:val="00A37FB1"/>
    <w:rsid w:val="00A4193C"/>
    <w:rsid w:val="00A432BA"/>
    <w:rsid w:val="00A4776F"/>
    <w:rsid w:val="00A50097"/>
    <w:rsid w:val="00A5150A"/>
    <w:rsid w:val="00A54C48"/>
    <w:rsid w:val="00A57BB1"/>
    <w:rsid w:val="00A60A9F"/>
    <w:rsid w:val="00A61092"/>
    <w:rsid w:val="00A6367A"/>
    <w:rsid w:val="00A63F46"/>
    <w:rsid w:val="00A64A8A"/>
    <w:rsid w:val="00A657FE"/>
    <w:rsid w:val="00A66952"/>
    <w:rsid w:val="00A70D6C"/>
    <w:rsid w:val="00A7157B"/>
    <w:rsid w:val="00A724E7"/>
    <w:rsid w:val="00A72541"/>
    <w:rsid w:val="00A72AB8"/>
    <w:rsid w:val="00A73413"/>
    <w:rsid w:val="00A73D74"/>
    <w:rsid w:val="00A7648B"/>
    <w:rsid w:val="00A7756B"/>
    <w:rsid w:val="00A807C4"/>
    <w:rsid w:val="00A84D64"/>
    <w:rsid w:val="00A86044"/>
    <w:rsid w:val="00A86CDB"/>
    <w:rsid w:val="00A907CE"/>
    <w:rsid w:val="00A90C3A"/>
    <w:rsid w:val="00A90E77"/>
    <w:rsid w:val="00A923CB"/>
    <w:rsid w:val="00A92A29"/>
    <w:rsid w:val="00A93835"/>
    <w:rsid w:val="00A962A4"/>
    <w:rsid w:val="00A96424"/>
    <w:rsid w:val="00A96A04"/>
    <w:rsid w:val="00A96B3A"/>
    <w:rsid w:val="00A97A58"/>
    <w:rsid w:val="00AA1B92"/>
    <w:rsid w:val="00AA23B9"/>
    <w:rsid w:val="00AA6276"/>
    <w:rsid w:val="00AA69ED"/>
    <w:rsid w:val="00AB06FC"/>
    <w:rsid w:val="00AB1DF9"/>
    <w:rsid w:val="00AB1F54"/>
    <w:rsid w:val="00AB33AF"/>
    <w:rsid w:val="00AB44EC"/>
    <w:rsid w:val="00AB6A0F"/>
    <w:rsid w:val="00AC27A8"/>
    <w:rsid w:val="00AC361C"/>
    <w:rsid w:val="00AC386C"/>
    <w:rsid w:val="00AC55C3"/>
    <w:rsid w:val="00AC72D5"/>
    <w:rsid w:val="00AD033B"/>
    <w:rsid w:val="00AD14D6"/>
    <w:rsid w:val="00AD19AA"/>
    <w:rsid w:val="00AD1CAE"/>
    <w:rsid w:val="00AD2758"/>
    <w:rsid w:val="00AD2F8F"/>
    <w:rsid w:val="00AD56B4"/>
    <w:rsid w:val="00AD58BD"/>
    <w:rsid w:val="00AD658C"/>
    <w:rsid w:val="00AD7657"/>
    <w:rsid w:val="00AD7E12"/>
    <w:rsid w:val="00AE3E02"/>
    <w:rsid w:val="00AE4AD5"/>
    <w:rsid w:val="00AE5132"/>
    <w:rsid w:val="00AE7C7C"/>
    <w:rsid w:val="00AF2D1F"/>
    <w:rsid w:val="00AF3DB5"/>
    <w:rsid w:val="00AF5A23"/>
    <w:rsid w:val="00B02224"/>
    <w:rsid w:val="00B0262F"/>
    <w:rsid w:val="00B02972"/>
    <w:rsid w:val="00B070B5"/>
    <w:rsid w:val="00B118FB"/>
    <w:rsid w:val="00B11947"/>
    <w:rsid w:val="00B1220B"/>
    <w:rsid w:val="00B159FB"/>
    <w:rsid w:val="00B21164"/>
    <w:rsid w:val="00B22907"/>
    <w:rsid w:val="00B23345"/>
    <w:rsid w:val="00B24055"/>
    <w:rsid w:val="00B2462D"/>
    <w:rsid w:val="00B25633"/>
    <w:rsid w:val="00B26E9E"/>
    <w:rsid w:val="00B277E6"/>
    <w:rsid w:val="00B31C27"/>
    <w:rsid w:val="00B31DD5"/>
    <w:rsid w:val="00B33F4D"/>
    <w:rsid w:val="00B36B62"/>
    <w:rsid w:val="00B36DF6"/>
    <w:rsid w:val="00B4084D"/>
    <w:rsid w:val="00B44F85"/>
    <w:rsid w:val="00B450EC"/>
    <w:rsid w:val="00B50BCE"/>
    <w:rsid w:val="00B511D0"/>
    <w:rsid w:val="00B51308"/>
    <w:rsid w:val="00B51B87"/>
    <w:rsid w:val="00B55257"/>
    <w:rsid w:val="00B573FE"/>
    <w:rsid w:val="00B63F06"/>
    <w:rsid w:val="00B66337"/>
    <w:rsid w:val="00B67C75"/>
    <w:rsid w:val="00B709E9"/>
    <w:rsid w:val="00B71085"/>
    <w:rsid w:val="00B717B4"/>
    <w:rsid w:val="00B72292"/>
    <w:rsid w:val="00B72997"/>
    <w:rsid w:val="00B73F46"/>
    <w:rsid w:val="00B7499A"/>
    <w:rsid w:val="00B755BB"/>
    <w:rsid w:val="00B75A1C"/>
    <w:rsid w:val="00B76CE6"/>
    <w:rsid w:val="00B80B76"/>
    <w:rsid w:val="00B80CCA"/>
    <w:rsid w:val="00B86160"/>
    <w:rsid w:val="00B87A04"/>
    <w:rsid w:val="00B9047E"/>
    <w:rsid w:val="00B9525D"/>
    <w:rsid w:val="00B96782"/>
    <w:rsid w:val="00B976E5"/>
    <w:rsid w:val="00BA1711"/>
    <w:rsid w:val="00BA376C"/>
    <w:rsid w:val="00BA383F"/>
    <w:rsid w:val="00BA3BFA"/>
    <w:rsid w:val="00BA548F"/>
    <w:rsid w:val="00BA7EF0"/>
    <w:rsid w:val="00BB1376"/>
    <w:rsid w:val="00BB366C"/>
    <w:rsid w:val="00BB3740"/>
    <w:rsid w:val="00BB4C2E"/>
    <w:rsid w:val="00BB5F9C"/>
    <w:rsid w:val="00BB7259"/>
    <w:rsid w:val="00BB753D"/>
    <w:rsid w:val="00BB7F85"/>
    <w:rsid w:val="00BC230B"/>
    <w:rsid w:val="00BC4E9D"/>
    <w:rsid w:val="00BC74B3"/>
    <w:rsid w:val="00BD0873"/>
    <w:rsid w:val="00BD0917"/>
    <w:rsid w:val="00BD2CD6"/>
    <w:rsid w:val="00BD58B5"/>
    <w:rsid w:val="00BD77F4"/>
    <w:rsid w:val="00BE4FE6"/>
    <w:rsid w:val="00BE64B3"/>
    <w:rsid w:val="00BF1A65"/>
    <w:rsid w:val="00BF44E0"/>
    <w:rsid w:val="00BF4D44"/>
    <w:rsid w:val="00BF5425"/>
    <w:rsid w:val="00BF6A94"/>
    <w:rsid w:val="00BF7194"/>
    <w:rsid w:val="00BF7896"/>
    <w:rsid w:val="00C06801"/>
    <w:rsid w:val="00C06F69"/>
    <w:rsid w:val="00C06FF0"/>
    <w:rsid w:val="00C10CBC"/>
    <w:rsid w:val="00C10E53"/>
    <w:rsid w:val="00C130DC"/>
    <w:rsid w:val="00C14891"/>
    <w:rsid w:val="00C14D20"/>
    <w:rsid w:val="00C14FAC"/>
    <w:rsid w:val="00C15397"/>
    <w:rsid w:val="00C16183"/>
    <w:rsid w:val="00C1679C"/>
    <w:rsid w:val="00C17FB9"/>
    <w:rsid w:val="00C21A5D"/>
    <w:rsid w:val="00C26603"/>
    <w:rsid w:val="00C26EE4"/>
    <w:rsid w:val="00C27BCE"/>
    <w:rsid w:val="00C313C7"/>
    <w:rsid w:val="00C329B6"/>
    <w:rsid w:val="00C34F85"/>
    <w:rsid w:val="00C351A1"/>
    <w:rsid w:val="00C35614"/>
    <w:rsid w:val="00C37A0A"/>
    <w:rsid w:val="00C37FD5"/>
    <w:rsid w:val="00C4005D"/>
    <w:rsid w:val="00C40690"/>
    <w:rsid w:val="00C437C7"/>
    <w:rsid w:val="00C444F1"/>
    <w:rsid w:val="00C46ABD"/>
    <w:rsid w:val="00C46E26"/>
    <w:rsid w:val="00C477E1"/>
    <w:rsid w:val="00C5020E"/>
    <w:rsid w:val="00C56679"/>
    <w:rsid w:val="00C56BB9"/>
    <w:rsid w:val="00C60D65"/>
    <w:rsid w:val="00C61256"/>
    <w:rsid w:val="00C6240C"/>
    <w:rsid w:val="00C6484E"/>
    <w:rsid w:val="00C66081"/>
    <w:rsid w:val="00C67089"/>
    <w:rsid w:val="00C67640"/>
    <w:rsid w:val="00C67653"/>
    <w:rsid w:val="00C77F96"/>
    <w:rsid w:val="00C80863"/>
    <w:rsid w:val="00C81002"/>
    <w:rsid w:val="00C82BC9"/>
    <w:rsid w:val="00C848CD"/>
    <w:rsid w:val="00C8561D"/>
    <w:rsid w:val="00C905E4"/>
    <w:rsid w:val="00C90AAD"/>
    <w:rsid w:val="00C91D40"/>
    <w:rsid w:val="00C9240D"/>
    <w:rsid w:val="00C93208"/>
    <w:rsid w:val="00C93718"/>
    <w:rsid w:val="00C93CE4"/>
    <w:rsid w:val="00C97890"/>
    <w:rsid w:val="00CA61EF"/>
    <w:rsid w:val="00CA6F7A"/>
    <w:rsid w:val="00CA7C83"/>
    <w:rsid w:val="00CB2267"/>
    <w:rsid w:val="00CB2397"/>
    <w:rsid w:val="00CB4FC6"/>
    <w:rsid w:val="00CB6C8D"/>
    <w:rsid w:val="00CC0B28"/>
    <w:rsid w:val="00CC0ED3"/>
    <w:rsid w:val="00CC218B"/>
    <w:rsid w:val="00CC4F69"/>
    <w:rsid w:val="00CC6573"/>
    <w:rsid w:val="00CC6932"/>
    <w:rsid w:val="00CD0E31"/>
    <w:rsid w:val="00CD1D7B"/>
    <w:rsid w:val="00CD5DE6"/>
    <w:rsid w:val="00CD5F6B"/>
    <w:rsid w:val="00CE01F6"/>
    <w:rsid w:val="00CE2045"/>
    <w:rsid w:val="00CE25B9"/>
    <w:rsid w:val="00CE2C9F"/>
    <w:rsid w:val="00CE3D2D"/>
    <w:rsid w:val="00CE4AC1"/>
    <w:rsid w:val="00CE4BA4"/>
    <w:rsid w:val="00CE6E3C"/>
    <w:rsid w:val="00CF0470"/>
    <w:rsid w:val="00CF36C2"/>
    <w:rsid w:val="00CF5675"/>
    <w:rsid w:val="00CF7139"/>
    <w:rsid w:val="00D016AD"/>
    <w:rsid w:val="00D018AE"/>
    <w:rsid w:val="00D04B75"/>
    <w:rsid w:val="00D1245C"/>
    <w:rsid w:val="00D124F1"/>
    <w:rsid w:val="00D1409E"/>
    <w:rsid w:val="00D1533A"/>
    <w:rsid w:val="00D155C4"/>
    <w:rsid w:val="00D15ADC"/>
    <w:rsid w:val="00D24BD5"/>
    <w:rsid w:val="00D24D02"/>
    <w:rsid w:val="00D276ED"/>
    <w:rsid w:val="00D305F5"/>
    <w:rsid w:val="00D3118E"/>
    <w:rsid w:val="00D324D5"/>
    <w:rsid w:val="00D328AA"/>
    <w:rsid w:val="00D33B1F"/>
    <w:rsid w:val="00D3756F"/>
    <w:rsid w:val="00D405FA"/>
    <w:rsid w:val="00D412F4"/>
    <w:rsid w:val="00D4260C"/>
    <w:rsid w:val="00D43955"/>
    <w:rsid w:val="00D44314"/>
    <w:rsid w:val="00D460CE"/>
    <w:rsid w:val="00D47BE6"/>
    <w:rsid w:val="00D531C5"/>
    <w:rsid w:val="00D53720"/>
    <w:rsid w:val="00D55C4D"/>
    <w:rsid w:val="00D562F1"/>
    <w:rsid w:val="00D5670A"/>
    <w:rsid w:val="00D567B1"/>
    <w:rsid w:val="00D579C9"/>
    <w:rsid w:val="00D600FD"/>
    <w:rsid w:val="00D605B2"/>
    <w:rsid w:val="00D609F6"/>
    <w:rsid w:val="00D6471B"/>
    <w:rsid w:val="00D665E3"/>
    <w:rsid w:val="00D70F90"/>
    <w:rsid w:val="00D7152B"/>
    <w:rsid w:val="00D71CE5"/>
    <w:rsid w:val="00D725E1"/>
    <w:rsid w:val="00D7279C"/>
    <w:rsid w:val="00D72876"/>
    <w:rsid w:val="00D7320C"/>
    <w:rsid w:val="00D73AEB"/>
    <w:rsid w:val="00D73D78"/>
    <w:rsid w:val="00D7427C"/>
    <w:rsid w:val="00D76DFE"/>
    <w:rsid w:val="00D809BA"/>
    <w:rsid w:val="00D80CE4"/>
    <w:rsid w:val="00D82D93"/>
    <w:rsid w:val="00D83F9E"/>
    <w:rsid w:val="00D858C6"/>
    <w:rsid w:val="00D85D9E"/>
    <w:rsid w:val="00D8686F"/>
    <w:rsid w:val="00D86AE0"/>
    <w:rsid w:val="00D86BB1"/>
    <w:rsid w:val="00D92C36"/>
    <w:rsid w:val="00D95831"/>
    <w:rsid w:val="00D96FB9"/>
    <w:rsid w:val="00D9750D"/>
    <w:rsid w:val="00DA1BA6"/>
    <w:rsid w:val="00DA381E"/>
    <w:rsid w:val="00DA41C8"/>
    <w:rsid w:val="00DA4D6C"/>
    <w:rsid w:val="00DA6456"/>
    <w:rsid w:val="00DB04C5"/>
    <w:rsid w:val="00DB25BF"/>
    <w:rsid w:val="00DB4245"/>
    <w:rsid w:val="00DB48AF"/>
    <w:rsid w:val="00DB6CFC"/>
    <w:rsid w:val="00DB742B"/>
    <w:rsid w:val="00DC2157"/>
    <w:rsid w:val="00DC3B72"/>
    <w:rsid w:val="00DC420D"/>
    <w:rsid w:val="00DC5CCB"/>
    <w:rsid w:val="00DC5E0E"/>
    <w:rsid w:val="00DC6797"/>
    <w:rsid w:val="00DC67D6"/>
    <w:rsid w:val="00DC6918"/>
    <w:rsid w:val="00DC6CC7"/>
    <w:rsid w:val="00DD03DB"/>
    <w:rsid w:val="00DD0840"/>
    <w:rsid w:val="00DD2F61"/>
    <w:rsid w:val="00DD3AAF"/>
    <w:rsid w:val="00DE0CBB"/>
    <w:rsid w:val="00DE6454"/>
    <w:rsid w:val="00DE6CD2"/>
    <w:rsid w:val="00DE7698"/>
    <w:rsid w:val="00DF5123"/>
    <w:rsid w:val="00DF5844"/>
    <w:rsid w:val="00DF5AB9"/>
    <w:rsid w:val="00DF5ECE"/>
    <w:rsid w:val="00DF6A46"/>
    <w:rsid w:val="00E00E43"/>
    <w:rsid w:val="00E03BDE"/>
    <w:rsid w:val="00E17504"/>
    <w:rsid w:val="00E22267"/>
    <w:rsid w:val="00E2235B"/>
    <w:rsid w:val="00E2577A"/>
    <w:rsid w:val="00E26868"/>
    <w:rsid w:val="00E26F76"/>
    <w:rsid w:val="00E310F4"/>
    <w:rsid w:val="00E32B91"/>
    <w:rsid w:val="00E343A6"/>
    <w:rsid w:val="00E34B06"/>
    <w:rsid w:val="00E36B32"/>
    <w:rsid w:val="00E408D1"/>
    <w:rsid w:val="00E40974"/>
    <w:rsid w:val="00E416A9"/>
    <w:rsid w:val="00E42449"/>
    <w:rsid w:val="00E44A5C"/>
    <w:rsid w:val="00E463B3"/>
    <w:rsid w:val="00E46728"/>
    <w:rsid w:val="00E5165E"/>
    <w:rsid w:val="00E51F87"/>
    <w:rsid w:val="00E52452"/>
    <w:rsid w:val="00E57EF9"/>
    <w:rsid w:val="00E60960"/>
    <w:rsid w:val="00E60CD8"/>
    <w:rsid w:val="00E6247B"/>
    <w:rsid w:val="00E65039"/>
    <w:rsid w:val="00E65F23"/>
    <w:rsid w:val="00E66317"/>
    <w:rsid w:val="00E66893"/>
    <w:rsid w:val="00E67787"/>
    <w:rsid w:val="00E67DD0"/>
    <w:rsid w:val="00E73511"/>
    <w:rsid w:val="00E76EB4"/>
    <w:rsid w:val="00E815B7"/>
    <w:rsid w:val="00E829E9"/>
    <w:rsid w:val="00E833D0"/>
    <w:rsid w:val="00E84A4D"/>
    <w:rsid w:val="00E8678F"/>
    <w:rsid w:val="00E86F6E"/>
    <w:rsid w:val="00E87335"/>
    <w:rsid w:val="00E876A1"/>
    <w:rsid w:val="00E90EDE"/>
    <w:rsid w:val="00E92984"/>
    <w:rsid w:val="00E951D0"/>
    <w:rsid w:val="00EA0EFF"/>
    <w:rsid w:val="00EA0FEE"/>
    <w:rsid w:val="00EA21A4"/>
    <w:rsid w:val="00EA7238"/>
    <w:rsid w:val="00EB01DB"/>
    <w:rsid w:val="00EB151A"/>
    <w:rsid w:val="00EB30C2"/>
    <w:rsid w:val="00EB3850"/>
    <w:rsid w:val="00EB3C50"/>
    <w:rsid w:val="00EB48C8"/>
    <w:rsid w:val="00EC1009"/>
    <w:rsid w:val="00EC13C9"/>
    <w:rsid w:val="00EC1AC7"/>
    <w:rsid w:val="00EC3CAB"/>
    <w:rsid w:val="00EC4685"/>
    <w:rsid w:val="00EC7A0C"/>
    <w:rsid w:val="00ED010F"/>
    <w:rsid w:val="00ED0CE5"/>
    <w:rsid w:val="00ED1A1A"/>
    <w:rsid w:val="00ED4EC7"/>
    <w:rsid w:val="00ED69F3"/>
    <w:rsid w:val="00EE01F3"/>
    <w:rsid w:val="00EE0F31"/>
    <w:rsid w:val="00EE1EBC"/>
    <w:rsid w:val="00EE29A8"/>
    <w:rsid w:val="00EE2D5D"/>
    <w:rsid w:val="00EE43BE"/>
    <w:rsid w:val="00EE58B5"/>
    <w:rsid w:val="00EE7DE1"/>
    <w:rsid w:val="00EF0E3D"/>
    <w:rsid w:val="00EF1624"/>
    <w:rsid w:val="00EF5C11"/>
    <w:rsid w:val="00F074B6"/>
    <w:rsid w:val="00F07852"/>
    <w:rsid w:val="00F10064"/>
    <w:rsid w:val="00F1125A"/>
    <w:rsid w:val="00F114F4"/>
    <w:rsid w:val="00F13108"/>
    <w:rsid w:val="00F13821"/>
    <w:rsid w:val="00F14E5E"/>
    <w:rsid w:val="00F15538"/>
    <w:rsid w:val="00F168EF"/>
    <w:rsid w:val="00F171BA"/>
    <w:rsid w:val="00F21D47"/>
    <w:rsid w:val="00F24ABD"/>
    <w:rsid w:val="00F25333"/>
    <w:rsid w:val="00F25C3D"/>
    <w:rsid w:val="00F31F6C"/>
    <w:rsid w:val="00F33FCE"/>
    <w:rsid w:val="00F3459A"/>
    <w:rsid w:val="00F3500D"/>
    <w:rsid w:val="00F360A4"/>
    <w:rsid w:val="00F36458"/>
    <w:rsid w:val="00F36557"/>
    <w:rsid w:val="00F3704A"/>
    <w:rsid w:val="00F37F0B"/>
    <w:rsid w:val="00F40172"/>
    <w:rsid w:val="00F406D7"/>
    <w:rsid w:val="00F427A9"/>
    <w:rsid w:val="00F43E63"/>
    <w:rsid w:val="00F447F5"/>
    <w:rsid w:val="00F44C86"/>
    <w:rsid w:val="00F463BD"/>
    <w:rsid w:val="00F4662D"/>
    <w:rsid w:val="00F47FBB"/>
    <w:rsid w:val="00F507BC"/>
    <w:rsid w:val="00F517AF"/>
    <w:rsid w:val="00F51C1A"/>
    <w:rsid w:val="00F52FAC"/>
    <w:rsid w:val="00F54686"/>
    <w:rsid w:val="00F55DC3"/>
    <w:rsid w:val="00F55E67"/>
    <w:rsid w:val="00F566EC"/>
    <w:rsid w:val="00F5750A"/>
    <w:rsid w:val="00F57C1E"/>
    <w:rsid w:val="00F61DB2"/>
    <w:rsid w:val="00F7029D"/>
    <w:rsid w:val="00F706E5"/>
    <w:rsid w:val="00F74CE8"/>
    <w:rsid w:val="00F761D9"/>
    <w:rsid w:val="00F76FCE"/>
    <w:rsid w:val="00F779E3"/>
    <w:rsid w:val="00F77BAF"/>
    <w:rsid w:val="00F80085"/>
    <w:rsid w:val="00F8069C"/>
    <w:rsid w:val="00F80A38"/>
    <w:rsid w:val="00F81A36"/>
    <w:rsid w:val="00F82EF0"/>
    <w:rsid w:val="00F849C2"/>
    <w:rsid w:val="00F85863"/>
    <w:rsid w:val="00F911FA"/>
    <w:rsid w:val="00F95A8C"/>
    <w:rsid w:val="00F97215"/>
    <w:rsid w:val="00FA0B79"/>
    <w:rsid w:val="00FA0F01"/>
    <w:rsid w:val="00FA25C3"/>
    <w:rsid w:val="00FA31ED"/>
    <w:rsid w:val="00FA3DEF"/>
    <w:rsid w:val="00FB0AA6"/>
    <w:rsid w:val="00FB22F7"/>
    <w:rsid w:val="00FB2B48"/>
    <w:rsid w:val="00FB434E"/>
    <w:rsid w:val="00FB512A"/>
    <w:rsid w:val="00FB5220"/>
    <w:rsid w:val="00FB52F3"/>
    <w:rsid w:val="00FB6799"/>
    <w:rsid w:val="00FB691E"/>
    <w:rsid w:val="00FC1F28"/>
    <w:rsid w:val="00FC23BF"/>
    <w:rsid w:val="00FC2AAB"/>
    <w:rsid w:val="00FC4247"/>
    <w:rsid w:val="00FC5217"/>
    <w:rsid w:val="00FD1A58"/>
    <w:rsid w:val="00FD20D7"/>
    <w:rsid w:val="00FD44D1"/>
    <w:rsid w:val="00FD5531"/>
    <w:rsid w:val="00FD5DF2"/>
    <w:rsid w:val="00FD75B6"/>
    <w:rsid w:val="00FD7E40"/>
    <w:rsid w:val="00FE0FFC"/>
    <w:rsid w:val="00FE142E"/>
    <w:rsid w:val="00FE1BDD"/>
    <w:rsid w:val="00FE1E26"/>
    <w:rsid w:val="00FE4B90"/>
    <w:rsid w:val="00FE512D"/>
    <w:rsid w:val="00FF02E6"/>
    <w:rsid w:val="00FF0CB0"/>
    <w:rsid w:val="00FF4206"/>
    <w:rsid w:val="00FF5448"/>
    <w:rsid w:val="00FF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>
      <o:colormenu v:ext="edit" fillcolor="#00b0f0" strokecolor="red"/>
    </o:shapedefaults>
    <o:shapelayout v:ext="edit">
      <o:idmap v:ext="edit" data="1"/>
      <o:rules v:ext="edit">
        <o:r id="V:Rule1" type="callout" idref="#_x0000_s1027"/>
        <o:r id="V:Rule4" type="callout" idref="#_x0000_s1030"/>
        <o:r id="V:Rule5" type="connector" idref="#_x0000_s1029"/>
        <o:r id="V:Rule6" type="connector" idref="#_x0000_s1028"/>
      </o:rules>
    </o:shapelayout>
  </w:shapeDefaults>
  <w:decimalSymbol w:val=","/>
  <w:listSeparator w:val=";"/>
  <w14:docId w14:val="1B9A1D6E"/>
  <w15:docId w15:val="{ED5B86DC-F81D-420A-B9E7-14CBD91A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A s odražkama"/>
    <w:qFormat/>
    <w:rsid w:val="00822878"/>
    <w:rPr>
      <w:rFonts w:eastAsia="SimSu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822878"/>
    <w:pPr>
      <w:keepNext/>
      <w:numPr>
        <w:numId w:val="17"/>
      </w:numPr>
      <w:spacing w:before="240" w:after="60"/>
      <w:jc w:val="both"/>
      <w:outlineLvl w:val="0"/>
    </w:pPr>
    <w:rPr>
      <w:rFonts w:ascii="Garamond" w:hAnsi="Garamond"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22878"/>
    <w:pPr>
      <w:keepNext/>
      <w:numPr>
        <w:ilvl w:val="1"/>
        <w:numId w:val="17"/>
      </w:numPr>
      <w:spacing w:before="120" w:after="60"/>
      <w:outlineLvl w:val="1"/>
    </w:pPr>
    <w:rPr>
      <w:rFonts w:ascii="Garamond" w:hAnsi="Garamond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22878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22878"/>
    <w:pPr>
      <w:spacing w:before="120" w:after="80"/>
      <w:ind w:left="340" w:firstLine="284"/>
      <w:jc w:val="both"/>
      <w:outlineLvl w:val="3"/>
    </w:pPr>
    <w:rPr>
      <w:rFonts w:ascii="Calibri" w:eastAsia="Times New Roman" w:hAnsi="Calibri"/>
      <w:b/>
      <w:i/>
      <w:color w:val="595959"/>
      <w:kern w:val="28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822878"/>
    <w:pPr>
      <w:spacing w:before="120" w:after="80"/>
      <w:ind w:left="454"/>
      <w:jc w:val="both"/>
      <w:outlineLvl w:val="4"/>
    </w:pPr>
    <w:rPr>
      <w:rFonts w:ascii="Calibri" w:eastAsia="Times New Roman" w:hAnsi="Calibri"/>
      <w:b/>
      <w:color w:val="595959"/>
      <w:kern w:val="28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822878"/>
    <w:pPr>
      <w:spacing w:before="120" w:after="80"/>
      <w:ind w:left="567"/>
      <w:jc w:val="both"/>
      <w:outlineLvl w:val="5"/>
    </w:pPr>
    <w:rPr>
      <w:rFonts w:ascii="Calibri" w:eastAsia="Times New Roman" w:hAnsi="Calibri"/>
      <w:b/>
      <w:i/>
      <w:color w:val="595959"/>
      <w:kern w:val="28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822878"/>
    <w:pPr>
      <w:spacing w:before="80" w:after="60"/>
      <w:ind w:left="680"/>
      <w:jc w:val="both"/>
      <w:outlineLvl w:val="6"/>
    </w:pPr>
    <w:rPr>
      <w:rFonts w:ascii="Calibri" w:eastAsia="Times New Roman" w:hAnsi="Calibri"/>
      <w:b/>
      <w:color w:val="595959"/>
      <w:kern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822878"/>
    <w:pPr>
      <w:spacing w:before="80" w:after="60"/>
      <w:ind w:left="5664" w:hanging="708"/>
      <w:jc w:val="both"/>
      <w:outlineLvl w:val="7"/>
    </w:pPr>
    <w:rPr>
      <w:rFonts w:ascii="Calibri" w:eastAsia="Times New Roman" w:hAnsi="Calibri"/>
      <w:b/>
      <w:i/>
      <w:color w:val="595959"/>
      <w:kern w:val="28"/>
      <w:szCs w:val="20"/>
      <w:lang w:eastAsia="cs-CZ"/>
    </w:rPr>
  </w:style>
  <w:style w:type="paragraph" w:styleId="Nadpis9">
    <w:name w:val="heading 9"/>
    <w:aliases w:val="Normální_"/>
    <w:basedOn w:val="Normln"/>
    <w:next w:val="Normln"/>
    <w:link w:val="Nadpis9Char"/>
    <w:qFormat/>
    <w:rsid w:val="00822878"/>
    <w:pPr>
      <w:spacing w:before="80" w:after="60"/>
      <w:ind w:left="6372" w:hanging="708"/>
      <w:jc w:val="both"/>
      <w:outlineLvl w:val="8"/>
    </w:pPr>
    <w:rPr>
      <w:rFonts w:ascii="Calibri" w:eastAsia="Times New Roman" w:hAnsi="Calibri"/>
      <w:b/>
      <w:i/>
      <w:color w:val="595959"/>
      <w:kern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56692"/>
    <w:rPr>
      <w:rFonts w:ascii="Garamond" w:eastAsia="SimSun" w:hAnsi="Garamond" w:cs="Arial"/>
      <w:b/>
      <w:bCs/>
      <w:kern w:val="32"/>
      <w:sz w:val="28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822878"/>
    <w:rPr>
      <w:rFonts w:ascii="Garamond" w:eastAsia="SimSun" w:hAnsi="Garamond" w:cs="Arial"/>
      <w:b/>
      <w:bCs/>
      <w:iCs/>
      <w:sz w:val="24"/>
      <w:szCs w:val="28"/>
      <w:lang w:eastAsia="zh-CN"/>
    </w:rPr>
  </w:style>
  <w:style w:type="paragraph" w:customStyle="1" w:styleId="StylZkladntextTimesNewRoman12bVpravo01cmdk">
    <w:name w:val="Styl Základní text + Times New Roman 12 b. Vpravo:  01 cm Řádk..."/>
    <w:basedOn w:val="Zkladntext"/>
    <w:next w:val="Seznam"/>
    <w:rsid w:val="00463D3C"/>
    <w:pPr>
      <w:numPr>
        <w:numId w:val="1"/>
      </w:numPr>
      <w:spacing w:after="0"/>
      <w:ind w:right="57"/>
    </w:pPr>
    <w:rPr>
      <w:bCs/>
      <w:szCs w:val="20"/>
    </w:rPr>
  </w:style>
  <w:style w:type="paragraph" w:styleId="Zkladntext">
    <w:name w:val="Body Text"/>
    <w:aliases w:val="termo,()odstaved,Tučný text"/>
    <w:basedOn w:val="Normln"/>
    <w:link w:val="ZkladntextChar"/>
    <w:rsid w:val="00463D3C"/>
    <w:pPr>
      <w:spacing w:after="120"/>
    </w:pPr>
  </w:style>
  <w:style w:type="character" w:customStyle="1" w:styleId="ZkladntextChar">
    <w:name w:val="Základní text Char"/>
    <w:aliases w:val="termo Char,()odstaved Char,Tučný text Char"/>
    <w:basedOn w:val="Standardnpsmoodstavce"/>
    <w:link w:val="Zkladntext"/>
    <w:rsid w:val="00463D3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rsid w:val="00483348"/>
    <w:pPr>
      <w:tabs>
        <w:tab w:val="left" w:pos="284"/>
        <w:tab w:val="right" w:leader="dot" w:pos="9062"/>
      </w:tabs>
      <w:ind w:left="284" w:hanging="284"/>
      <w:jc w:val="both"/>
    </w:pPr>
    <w:rPr>
      <w:rFonts w:ascii="Garamond" w:eastAsia="Times New Roman" w:hAnsi="Garamond"/>
      <w:b/>
      <w:noProof/>
      <w:lang w:eastAsia="cs-CZ"/>
    </w:rPr>
  </w:style>
  <w:style w:type="character" w:styleId="Hypertextovodkaz">
    <w:name w:val="Hyperlink"/>
    <w:basedOn w:val="Standardnpsmoodstavce"/>
    <w:uiPriority w:val="99"/>
    <w:rsid w:val="00463D3C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63D3C"/>
    <w:pPr>
      <w:tabs>
        <w:tab w:val="left" w:pos="720"/>
        <w:tab w:val="right" w:leader="dot" w:pos="9062"/>
      </w:tabs>
      <w:ind w:left="738" w:hanging="538"/>
    </w:pPr>
    <w:rPr>
      <w:rFonts w:eastAsia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63D3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63D3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Zkladntext3">
    <w:name w:val="Body Text 3"/>
    <w:basedOn w:val="Normln"/>
    <w:link w:val="Zkladntext3Char"/>
    <w:rsid w:val="00463D3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463D3C"/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Zpat">
    <w:name w:val="footer"/>
    <w:basedOn w:val="Normln"/>
    <w:link w:val="ZpatChar"/>
    <w:rsid w:val="00463D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63D3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ezmezer">
    <w:name w:val="No Spacing"/>
    <w:uiPriority w:val="1"/>
    <w:qFormat/>
    <w:rsid w:val="00822878"/>
    <w:rPr>
      <w:rFonts w:ascii="Calibri" w:eastAsia="SimSun" w:hAnsi="Calibri"/>
      <w:sz w:val="18"/>
      <w:szCs w:val="24"/>
      <w:lang w:eastAsia="zh-CN"/>
    </w:rPr>
  </w:style>
  <w:style w:type="paragraph" w:styleId="Zhlav">
    <w:name w:val="header"/>
    <w:aliases w:val="záhlaví Char Char,záhlaví Char,záhlaví"/>
    <w:basedOn w:val="Normln"/>
    <w:link w:val="ZhlavChar"/>
    <w:rsid w:val="00463D3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 Char Char,záhlaví Char Char1,záhlaví Char1"/>
    <w:basedOn w:val="Standardnpsmoodstavce"/>
    <w:link w:val="Zhlav"/>
    <w:rsid w:val="00463D3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eznam">
    <w:name w:val="List"/>
    <w:basedOn w:val="Normln"/>
    <w:uiPriority w:val="99"/>
    <w:semiHidden/>
    <w:unhideWhenUsed/>
    <w:rsid w:val="00463D3C"/>
    <w:pPr>
      <w:ind w:left="283" w:hanging="283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3D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3D3C"/>
    <w:rPr>
      <w:rFonts w:ascii="Tahoma" w:eastAsia="SimSun" w:hAnsi="Tahoma" w:cs="Tahoma"/>
      <w:sz w:val="16"/>
      <w:szCs w:val="16"/>
      <w:lang w:eastAsia="zh-CN"/>
    </w:rPr>
  </w:style>
  <w:style w:type="character" w:customStyle="1" w:styleId="Nadpis3Char">
    <w:name w:val="Nadpis 3 Char"/>
    <w:basedOn w:val="Standardnpsmoodstavce"/>
    <w:link w:val="Nadpis3"/>
    <w:rsid w:val="00A90C3A"/>
    <w:rPr>
      <w:rFonts w:ascii="Arial" w:eastAsiaTheme="majorEastAsia" w:hAnsi="Arial" w:cs="Arial"/>
      <w:b/>
      <w:bCs/>
      <w:sz w:val="26"/>
      <w:szCs w:val="26"/>
    </w:rPr>
  </w:style>
  <w:style w:type="paragraph" w:customStyle="1" w:styleId="Default">
    <w:name w:val="Default"/>
    <w:rsid w:val="00A15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qFormat/>
    <w:rsid w:val="00822878"/>
    <w:pPr>
      <w:ind w:left="720"/>
      <w:contextualSpacing/>
    </w:pPr>
  </w:style>
  <w:style w:type="paragraph" w:customStyle="1" w:styleId="Standard">
    <w:name w:val="Standard"/>
    <w:rsid w:val="004D0E0A"/>
    <w:pPr>
      <w:suppressAutoHyphens/>
      <w:autoSpaceDN w:val="0"/>
      <w:textAlignment w:val="baseline"/>
    </w:pPr>
    <w:rPr>
      <w:rFonts w:cs="Courier"/>
      <w:kern w:val="3"/>
      <w:lang w:eastAsia="ar-SA"/>
    </w:rPr>
  </w:style>
  <w:style w:type="table" w:styleId="Klasicktabulka1">
    <w:name w:val="Table Classic 1"/>
    <w:aliases w:val="moje"/>
    <w:basedOn w:val="Normlntabulka"/>
    <w:rsid w:val="00C477E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osttext">
    <w:name w:val="Plain Text"/>
    <w:basedOn w:val="Normln"/>
    <w:link w:val="ProsttextChar"/>
    <w:rsid w:val="00D44314"/>
    <w:pPr>
      <w:jc w:val="both"/>
    </w:pPr>
    <w:rPr>
      <w:rFonts w:ascii="Courier New" w:eastAsia="MS Mincho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D44314"/>
    <w:rPr>
      <w:rFonts w:ascii="Courier New" w:eastAsia="MS Mincho" w:hAnsi="Courier New" w:cs="Courier New"/>
      <w:sz w:val="20"/>
      <w:szCs w:val="20"/>
      <w:lang w:eastAsia="cs-CZ"/>
    </w:rPr>
  </w:style>
  <w:style w:type="character" w:customStyle="1" w:styleId="ZkladntextTun">
    <w:name w:val="Základní text + Tučné"/>
    <w:basedOn w:val="Standardnpsmoodstavce"/>
    <w:rsid w:val="008B7DCC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il">
    <w:name w:val="il"/>
    <w:basedOn w:val="Standardnpsmoodstavce"/>
    <w:rsid w:val="004E6131"/>
  </w:style>
  <w:style w:type="paragraph" w:customStyle="1" w:styleId="Textbody">
    <w:name w:val="Text body"/>
    <w:basedOn w:val="Standard"/>
    <w:rsid w:val="00F447F5"/>
    <w:pPr>
      <w:spacing w:after="120"/>
    </w:pPr>
    <w:rPr>
      <w:rFonts w:cs="Courier New"/>
    </w:rPr>
  </w:style>
  <w:style w:type="character" w:customStyle="1" w:styleId="Zkladntext0">
    <w:name w:val="Základní text_"/>
    <w:basedOn w:val="Standardnpsmoodstavce"/>
    <w:link w:val="Zkladntext20"/>
    <w:rsid w:val="00AE3E0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Zkladntext20">
    <w:name w:val="Základní text2"/>
    <w:basedOn w:val="Normln"/>
    <w:link w:val="Zkladntext0"/>
    <w:rsid w:val="00AE3E02"/>
    <w:pPr>
      <w:shd w:val="clear" w:color="auto" w:fill="FFFFFF"/>
      <w:spacing w:before="240" w:line="318" w:lineRule="exact"/>
      <w:ind w:hanging="560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xtnormln">
    <w:name w:val="Text normální"/>
    <w:basedOn w:val="Normln"/>
    <w:rsid w:val="005F5790"/>
    <w:pPr>
      <w:spacing w:before="240"/>
      <w:jc w:val="both"/>
    </w:pPr>
    <w:rPr>
      <w:rFonts w:ascii="Garamond" w:eastAsia="Times New Roman" w:hAnsi="Garamond"/>
      <w:szCs w:val="20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D41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412F4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EZSTZText">
    <w:name w:val="EZS TZ Text"/>
    <w:basedOn w:val="Normln"/>
    <w:link w:val="EZSTZTextChar"/>
    <w:rsid w:val="00CD1D7B"/>
    <w:pPr>
      <w:spacing w:after="60"/>
      <w:jc w:val="both"/>
    </w:pPr>
    <w:rPr>
      <w:rFonts w:ascii="Arial" w:eastAsia="Times New Roman" w:hAnsi="Arial"/>
      <w:sz w:val="22"/>
      <w:szCs w:val="20"/>
    </w:rPr>
  </w:style>
  <w:style w:type="character" w:customStyle="1" w:styleId="EZSTZTextChar">
    <w:name w:val="EZS TZ Text Char"/>
    <w:link w:val="EZSTZText"/>
    <w:rsid w:val="00CD1D7B"/>
    <w:rPr>
      <w:rFonts w:ascii="Arial" w:eastAsia="Times New Roman" w:hAnsi="Arial" w:cs="Times New Roman"/>
      <w:szCs w:val="20"/>
    </w:rPr>
  </w:style>
  <w:style w:type="paragraph" w:customStyle="1" w:styleId="499textodrazeny">
    <w:name w:val="499_text_odrazeny"/>
    <w:basedOn w:val="Normln"/>
    <w:link w:val="499textodrazenyChar"/>
    <w:uiPriority w:val="99"/>
    <w:rsid w:val="00146034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46034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A1309D"/>
    <w:pPr>
      <w:spacing w:before="120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A1309D"/>
    <w:rPr>
      <w:rFonts w:ascii="Arial" w:eastAsia="Calibri" w:hAnsi="Arial" w:cs="Arial"/>
      <w:color w:val="000000"/>
      <w:sz w:val="20"/>
      <w:szCs w:val="20"/>
    </w:rPr>
  </w:style>
  <w:style w:type="paragraph" w:customStyle="1" w:styleId="NormlnIMP">
    <w:name w:val="Normální_IMP"/>
    <w:basedOn w:val="Normln"/>
    <w:rsid w:val="00A1309D"/>
    <w:pPr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rFonts w:eastAsia="Times New Roman"/>
      <w:color w:val="000000"/>
      <w:szCs w:val="20"/>
      <w:lang w:eastAsia="cs-CZ"/>
    </w:rPr>
  </w:style>
  <w:style w:type="paragraph" w:customStyle="1" w:styleId="normln0">
    <w:name w:val="normální"/>
    <w:basedOn w:val="Normln"/>
    <w:rsid w:val="005D6195"/>
    <w:pPr>
      <w:jc w:val="both"/>
    </w:pPr>
    <w:rPr>
      <w:rFonts w:eastAsia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9B1A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1FH">
    <w:name w:val="Text 1 FH"/>
    <w:basedOn w:val="Normln"/>
    <w:qFormat/>
    <w:rsid w:val="00822878"/>
    <w:pPr>
      <w:ind w:firstLine="680"/>
      <w:jc w:val="both"/>
    </w:pPr>
    <w:rPr>
      <w:rFonts w:ascii="Cambria" w:hAnsi="Cambria"/>
      <w:szCs w:val="20"/>
    </w:rPr>
  </w:style>
  <w:style w:type="character" w:customStyle="1" w:styleId="Nadpis4Char">
    <w:name w:val="Nadpis 4 Char"/>
    <w:basedOn w:val="Standardnpsmoodstavce"/>
    <w:link w:val="Nadpis4"/>
    <w:rsid w:val="00822878"/>
    <w:rPr>
      <w:rFonts w:ascii="Calibri" w:hAnsi="Calibri"/>
      <w:b/>
      <w:i/>
      <w:color w:val="595959"/>
      <w:kern w:val="28"/>
      <w:sz w:val="24"/>
    </w:rPr>
  </w:style>
  <w:style w:type="character" w:customStyle="1" w:styleId="Nadpis5Char">
    <w:name w:val="Nadpis 5 Char"/>
    <w:basedOn w:val="Standardnpsmoodstavce"/>
    <w:link w:val="Nadpis5"/>
    <w:rsid w:val="00822878"/>
    <w:rPr>
      <w:rFonts w:ascii="Calibri" w:hAnsi="Calibri"/>
      <w:b/>
      <w:color w:val="595959"/>
      <w:kern w:val="28"/>
      <w:sz w:val="24"/>
    </w:rPr>
  </w:style>
  <w:style w:type="character" w:customStyle="1" w:styleId="Nadpis6Char">
    <w:name w:val="Nadpis 6 Char"/>
    <w:basedOn w:val="Standardnpsmoodstavce"/>
    <w:link w:val="Nadpis6"/>
    <w:rsid w:val="00822878"/>
    <w:rPr>
      <w:rFonts w:ascii="Calibri" w:hAnsi="Calibri"/>
      <w:b/>
      <w:i/>
      <w:color w:val="595959"/>
      <w:kern w:val="28"/>
      <w:sz w:val="24"/>
    </w:rPr>
  </w:style>
  <w:style w:type="character" w:customStyle="1" w:styleId="Nadpis7Char">
    <w:name w:val="Nadpis 7 Char"/>
    <w:basedOn w:val="Standardnpsmoodstavce"/>
    <w:link w:val="Nadpis7"/>
    <w:rsid w:val="00822878"/>
    <w:rPr>
      <w:rFonts w:ascii="Calibri" w:hAnsi="Calibri"/>
      <w:b/>
      <w:color w:val="595959"/>
      <w:kern w:val="28"/>
      <w:sz w:val="24"/>
    </w:rPr>
  </w:style>
  <w:style w:type="character" w:customStyle="1" w:styleId="Nadpis8Char">
    <w:name w:val="Nadpis 8 Char"/>
    <w:basedOn w:val="Standardnpsmoodstavce"/>
    <w:link w:val="Nadpis8"/>
    <w:rsid w:val="00822878"/>
    <w:rPr>
      <w:rFonts w:ascii="Calibri" w:hAnsi="Calibri"/>
      <w:b/>
      <w:i/>
      <w:color w:val="595959"/>
      <w:kern w:val="28"/>
      <w:sz w:val="24"/>
    </w:rPr>
  </w:style>
  <w:style w:type="character" w:customStyle="1" w:styleId="Nadpis9Char">
    <w:name w:val="Nadpis 9 Char"/>
    <w:aliases w:val="Normální_ Char"/>
    <w:basedOn w:val="Standardnpsmoodstavce"/>
    <w:link w:val="Nadpis9"/>
    <w:rsid w:val="00822878"/>
    <w:rPr>
      <w:rFonts w:ascii="Calibri" w:hAnsi="Calibri"/>
      <w:b/>
      <w:i/>
      <w:color w:val="595959"/>
      <w:kern w:val="28"/>
      <w:sz w:val="24"/>
    </w:rPr>
  </w:style>
  <w:style w:type="table" w:customStyle="1" w:styleId="TableGrid">
    <w:name w:val="TableGrid"/>
    <w:rsid w:val="0096681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CC70A003438F40BB0B4D0EAF300461" ma:contentTypeVersion="13" ma:contentTypeDescription="Vytvoří nový dokument" ma:contentTypeScope="" ma:versionID="791fa2d5c75daa177beb07d0e9627631">
  <xsd:schema xmlns:xsd="http://www.w3.org/2001/XMLSchema" xmlns:xs="http://www.w3.org/2001/XMLSchema" xmlns:p="http://schemas.microsoft.com/office/2006/metadata/properties" xmlns:ns2="7121e18b-0634-4c33-baa3-f3de9a020fe8" xmlns:ns3="2c3c911c-8a77-4291-a0b8-f595f9f41878" targetNamespace="http://schemas.microsoft.com/office/2006/metadata/properties" ma:root="true" ma:fieldsID="80de5c5efb14a295029dcd6195a67785" ns2:_="" ns3:_="">
    <xsd:import namespace="7121e18b-0634-4c33-baa3-f3de9a020fe8"/>
    <xsd:import namespace="2c3c911c-8a77-4291-a0b8-f595f9f41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1e18b-0634-4c33-baa3-f3de9a020f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bce56c0d-8add-4fe5-85a8-9b3e3d2b7a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c911c-8a77-4291-a0b8-f595f9f4187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9aa7d8d-1596-48b5-93c8-cb03a9e14a2d}" ma:internalName="TaxCatchAll" ma:showField="CatchAllData" ma:web="2c3c911c-8a77-4291-a0b8-f595f9f41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3c911c-8a77-4291-a0b8-f595f9f41878" xsi:nil="true"/>
    <lcf76f155ced4ddcb4097134ff3c332f xmlns="7121e18b-0634-4c33-baa3-f3de9a020f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12899B-FAB3-46E0-8D31-E9E63F364C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B77616-395E-4CFE-8F59-B623F517F02E}"/>
</file>

<file path=customXml/itemProps3.xml><?xml version="1.0" encoding="utf-8"?>
<ds:datastoreItem xmlns:ds="http://schemas.openxmlformats.org/officeDocument/2006/customXml" ds:itemID="{C82D7E6D-6FD9-4C4A-BE3B-F1B618ECCEC9}"/>
</file>

<file path=customXml/itemProps4.xml><?xml version="1.0" encoding="utf-8"?>
<ds:datastoreItem xmlns:ds="http://schemas.openxmlformats.org/officeDocument/2006/customXml" ds:itemID="{A0BA12D2-D95B-4261-A575-59DFE7D93B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4642</Words>
  <Characters>27388</Characters>
  <Application>Microsoft Office Word</Application>
  <DocSecurity>0</DocSecurity>
  <Lines>228</Lines>
  <Paragraphs>63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42</vt:i4>
      </vt:variant>
    </vt:vector>
  </HeadingPairs>
  <TitlesOfParts>
    <vt:vector size="43" baseType="lpstr">
      <vt:lpstr/>
      <vt:lpstr>Úvod</vt:lpstr>
      <vt:lpstr>Seznam použitých podkladů pro zpracování</vt:lpstr>
      <vt:lpstr>    Zadávací dokumentace</vt:lpstr>
      <vt:lpstr>    Právní a ostatní předpisy </vt:lpstr>
      <vt:lpstr>    Použité zkratky</vt:lpstr>
      <vt:lpstr>Stručný popis stavby z hlediska stavebních konstrukcí, výšky stavby, účelu užití</vt:lpstr>
      <vt:lpstr>    Stavební řešení - stávající objekt</vt:lpstr>
      <vt:lpstr>    Obvodové stěny vyzděny z cihel; stropy železobetonové monolitické; v podkroví - </vt:lpstr>
      <vt:lpstr>    </vt:lpstr>
      <vt:lpstr>    Stropy v 1. a 2. podlaží a částečně ve 3. podlaží (nad posluchárnami) jsou želez</vt:lpstr>
      <vt:lpstr>    Ocelová nosná konstrukce střechy - v garáží a ve zbývajících prostorách 3. podla</vt:lpstr>
      <vt:lpstr>    Hlavní tříramenné schodiště (ve 2. nadzemním podlaží - se vchodem z náměstí, s v</vt:lpstr>
      <vt:lpstr>    Stavební řešení - navrhované zastřešení átria</vt:lpstr>
      <vt:lpstr>    Koncepce požárně bezpečnostního řešení</vt:lpstr>
      <vt:lpstr>    Rozdělení stavby do požárních úseků</vt:lpstr>
      <vt:lpstr>Stanovení požárního rizika, popř. ekonomického rizika, stanovení stupně požární </vt:lpstr>
      <vt:lpstr>    Požární riziko</vt:lpstr>
      <vt:lpstr>    Stanovení stupně požární bezpečnosti  </vt:lpstr>
      <vt:lpstr>Mezní rozměry požárních úseků</vt:lpstr>
      <vt:lpstr>Zhodnocení navržených stavebních konstrukcí a požárních uzávěrů z hlediska jejic</vt:lpstr>
      <vt:lpstr>Zhodnocení navžených stavebních hmot (stupeň hořlavosti, odkapávaní v podmínkách</vt:lpstr>
      <vt:lpstr>Únikové cesty </vt:lpstr>
      <vt:lpstr>    Provedení únikových cest</vt:lpstr>
      <vt:lpstr>Stanovení odstupových, popř. bezpečnostních vzdáleností a vymezení požárně nebez</vt:lpstr>
      <vt:lpstr>určení způsobu zabezpečení stavby požární vodou včetně rozmístění vnitřních a vn</vt:lpstr>
      <vt:lpstr>    Vnější odběrní místa</vt:lpstr>
      <vt:lpstr>    Vnitřní odběrní místa</vt:lpstr>
      <vt:lpstr>Vybavení zásahových cest a jejich technického vybavení, opatření k zajištění bez</vt:lpstr>
      <vt:lpstr>    Zásahové cesty</vt:lpstr>
      <vt:lpstr>    Příjezdové a přístupové komunikace</vt:lpstr>
      <vt:lpstr>    Nástupní plocha</vt:lpstr>
      <vt:lpstr>Stanovení počtu, druhů a způsobu rozmístění hasicích přístrojů, popřípadě dalšíc</vt:lpstr>
      <vt:lpstr>    Přenosné hasicí přístroje</vt:lpstr>
      <vt:lpstr>Zhodnocení technických, popř. technologických zařízení stavby (rozvodná potrubí,</vt:lpstr>
      <vt:lpstr>    Elektroinstalace</vt:lpstr>
      <vt:lpstr>    Vytápění</vt:lpstr>
      <vt:lpstr>    Větrání</vt:lpstr>
      <vt:lpstr>Stanovení zvláštních požadavků na zvýšení požární odolnosti stavebních konstrukc</vt:lpstr>
      <vt:lpstr>Posouzení požadavků na zabezpečení stavby požárně bezpečnostními zařízeními, nás</vt:lpstr>
      <vt:lpstr>Rozsah a způsob rozmístění výstražných a bezpečnostních značek a tabulek, včetně</vt:lpstr>
      <vt:lpstr>    Bezpečnostní značky a tabulky</vt:lpstr>
      <vt:lpstr>Závěr</vt:lpstr>
    </vt:vector>
  </TitlesOfParts>
  <Company/>
  <LinksUpToDate>false</LinksUpToDate>
  <CharactersWithSpaces>31967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Matějek</cp:lastModifiedBy>
  <cp:revision>59</cp:revision>
  <cp:lastPrinted>2024-02-15T10:25:00Z</cp:lastPrinted>
  <dcterms:created xsi:type="dcterms:W3CDTF">2019-03-27T05:41:00Z</dcterms:created>
  <dcterms:modified xsi:type="dcterms:W3CDTF">2024-02-15T10:26:00Z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0x01010043CC70A003438F40BB0B4D0EAF300461</vt:lpwstr>
  </property>
  <property fmtid="{D5CDD505-2E9C-101B-9397-08002B2CF9AE}" pid="3" name="MediaServiceImageTags">
    <vt:lpwstr/>
  </property>
</Properties>
</file>